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/>
        <w:jc w:val="center"/>
        <w:textAlignment w:val="auto"/>
        <w:rPr>
          <w:rFonts w:ascii="方正小标宋_GBK" w:hAnsi="仿宋" w:eastAsia="方正小标宋_GBK"/>
          <w:sz w:val="40"/>
          <w:szCs w:val="36"/>
          <w:lang w:eastAsia="zh-CN"/>
        </w:rPr>
      </w:pPr>
      <w:r>
        <w:rPr>
          <w:rFonts w:hint="eastAsia" w:ascii="方正小标宋_GBK" w:hAnsi="仿宋" w:eastAsia="方正小标宋_GBK"/>
          <w:sz w:val="40"/>
          <w:szCs w:val="36"/>
          <w:lang w:eastAsia="zh-CN"/>
        </w:rPr>
        <w:t>2025年</w:t>
      </w:r>
      <w:r>
        <w:rPr>
          <w:rFonts w:hint="eastAsia" w:ascii="方正小标宋_GBK" w:hAnsi="仿宋" w:eastAsia="方正小标宋_GBK"/>
          <w:sz w:val="40"/>
          <w:szCs w:val="36"/>
          <w:lang w:val="en-US" w:eastAsia="zh-CN"/>
        </w:rPr>
        <w:t>一</w:t>
      </w:r>
      <w:r>
        <w:rPr>
          <w:rFonts w:hint="eastAsia" w:ascii="方正小标宋_GBK" w:hAnsi="仿宋" w:eastAsia="方正小标宋_GBK"/>
          <w:sz w:val="40"/>
          <w:szCs w:val="36"/>
          <w:lang w:eastAsia="zh-CN"/>
        </w:rPr>
        <w:t>季度全市医疗服务情况</w:t>
      </w:r>
    </w:p>
    <w:p>
      <w:pPr>
        <w:pStyle w:val="4"/>
        <w:spacing w:line="560" w:lineRule="exact"/>
        <w:ind w:firstLine="640" w:firstLineChars="200"/>
        <w:rPr>
          <w:rFonts w:ascii="方正仿宋_GBK" w:hAnsi="仿宋" w:eastAsia="方正仿宋_GBK"/>
          <w:sz w:val="32"/>
          <w:szCs w:val="28"/>
          <w:lang w:eastAsia="zh-CN"/>
        </w:rPr>
      </w:pPr>
    </w:p>
    <w:p>
      <w:pPr>
        <w:pStyle w:val="4"/>
        <w:spacing w:line="560" w:lineRule="exact"/>
        <w:ind w:firstLine="672" w:firstLineChars="200"/>
        <w:jc w:val="both"/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2025年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一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季度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全市医疗服务情况有以下特点：一是医疗服务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val="en-US" w:eastAsia="zh-CN"/>
        </w:rPr>
        <w:t>量增速下降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，总诊疗人次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val="en-US" w:eastAsia="zh-CN"/>
        </w:rPr>
        <w:t>数低幅增长，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出院人数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val="en-US" w:eastAsia="zh-CN"/>
        </w:rPr>
        <w:t>呈负增长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；二是医疗费用控制效果较好，次均门诊费用略有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，大型公立医疗机构次均住院费用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val="en-US" w:eastAsia="zh-CN"/>
        </w:rPr>
        <w:t>降幅相对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明显。</w:t>
      </w:r>
    </w:p>
    <w:p>
      <w:pPr>
        <w:pStyle w:val="4"/>
        <w:spacing w:line="560" w:lineRule="exact"/>
        <w:ind w:firstLine="672" w:firstLineChars="200"/>
        <w:rPr>
          <w:rFonts w:ascii="Times New Roman" w:hAnsi="Times New Roman" w:eastAsia="黑体"/>
          <w:sz w:val="32"/>
          <w:szCs w:val="28"/>
          <w:lang w:eastAsia="zh-CN"/>
        </w:rPr>
      </w:pP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一、总诊疗人次</w:t>
      </w:r>
      <w:r>
        <w:rPr>
          <w:rFonts w:hint="eastAsia" w:ascii="Times New Roman" w:hAnsi="Times New Roman" w:eastAsia="黑体"/>
          <w:w w:val="105"/>
          <w:sz w:val="32"/>
          <w:szCs w:val="28"/>
          <w:lang w:val="en-US" w:eastAsia="zh-CN"/>
        </w:rPr>
        <w:t>低幅增长</w:t>
      </w: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黑体"/>
          <w:w w:val="105"/>
          <w:sz w:val="32"/>
          <w:szCs w:val="28"/>
          <w:lang w:val="en-US" w:eastAsia="zh-CN"/>
        </w:rPr>
        <w:t>各类机构增减不一</w:t>
      </w: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。</w:t>
      </w:r>
    </w:p>
    <w:p>
      <w:pPr>
        <w:pStyle w:val="4"/>
        <w:spacing w:line="560" w:lineRule="exact"/>
        <w:ind w:firstLine="672" w:firstLineChars="200"/>
        <w:rPr>
          <w:rFonts w:ascii="Times New Roman" w:hAnsi="Times New Roman" w:eastAsia="方正仿宋_GBK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2025年一季度</w:t>
      </w:r>
      <w:r>
        <w:rPr>
          <w:rFonts w:hint="eastAsia" w:ascii="Times New Roman" w:hAnsi="Times New Roman" w:eastAsia="方正仿宋_GBK"/>
          <w:spacing w:val="-1"/>
          <w:w w:val="105"/>
          <w:sz w:val="32"/>
          <w:szCs w:val="28"/>
          <w:lang w:eastAsia="zh-CN"/>
        </w:rPr>
        <w:t>总诊疗人次5484.81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32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-12"/>
          <w:w w:val="105"/>
          <w:sz w:val="32"/>
          <w:szCs w:val="28"/>
          <w:lang w:eastAsia="zh-CN"/>
        </w:rPr>
        <w:t>同比增长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0.18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spacing w:val="5"/>
          <w:w w:val="105"/>
          <w:sz w:val="32"/>
          <w:szCs w:val="28"/>
          <w:lang w:eastAsia="zh-CN"/>
        </w:rPr>
        <w:t>。</w:t>
      </w:r>
      <w:r>
        <w:rPr>
          <w:rFonts w:hint="eastAsia" w:ascii="Times New Roman" w:hAnsi="Times New Roman" w:eastAsia="方正仿宋_GBK"/>
          <w:spacing w:val="-2"/>
          <w:w w:val="105"/>
          <w:sz w:val="32"/>
          <w:szCs w:val="28"/>
          <w:lang w:eastAsia="zh-CN"/>
        </w:rPr>
        <w:t>分机构类型看</w:t>
      </w:r>
      <w:r>
        <w:rPr>
          <w:rFonts w:hint="eastAsia" w:ascii="Times New Roman" w:hAnsi="Times New Roman" w:eastAsia="方正仿宋_GBK"/>
          <w:spacing w:val="-30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医</w:t>
      </w:r>
      <w:r>
        <w:rPr>
          <w:rFonts w:hint="eastAsia" w:ascii="Times New Roman" w:hAnsi="Times New Roman" w:eastAsia="方正仿宋_GBK"/>
          <w:spacing w:val="-44"/>
          <w:w w:val="110"/>
          <w:sz w:val="32"/>
          <w:szCs w:val="28"/>
          <w:lang w:eastAsia="zh-CN"/>
        </w:rPr>
        <w:t>院</w:t>
      </w:r>
      <w:r>
        <w:rPr>
          <w:rFonts w:hint="eastAsia" w:ascii="Times New Roman" w:hAnsi="Times New Roman" w:eastAsia="方正仿宋_GBK"/>
          <w:spacing w:val="-44"/>
          <w:w w:val="110"/>
          <w:sz w:val="32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w w:val="110"/>
          <w:sz w:val="32"/>
          <w:szCs w:val="28"/>
          <w:lang w:eastAsia="zh-CN"/>
        </w:rPr>
        <w:t>2368.81万人次</w:t>
      </w:r>
      <w:r>
        <w:rPr>
          <w:rFonts w:hint="eastAsia" w:ascii="Times New Roman" w:hAnsi="Times New Roman" w:eastAsia="方正仿宋_GBK"/>
          <w:spacing w:val="-41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-18"/>
          <w:w w:val="110"/>
          <w:sz w:val="32"/>
          <w:szCs w:val="28"/>
          <w:lang w:eastAsia="zh-CN"/>
        </w:rPr>
        <w:t>同比增长0.11</w:t>
      </w:r>
      <w:r>
        <w:rPr>
          <w:rFonts w:ascii="Times New Roman" w:hAnsi="Times New Roman" w:eastAsia="方正仿宋_GBK"/>
          <w:spacing w:val="-18"/>
          <w:w w:val="110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spacing w:val="1"/>
          <w:w w:val="105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方正仿宋_GBK"/>
          <w:spacing w:val="-6"/>
          <w:w w:val="110"/>
          <w:sz w:val="32"/>
          <w:szCs w:val="28"/>
          <w:lang w:eastAsia="zh-CN"/>
        </w:rPr>
        <w:t>基层医</w:t>
      </w:r>
      <w:bookmarkStart w:id="0" w:name="_GoBack"/>
      <w:bookmarkEnd w:id="0"/>
      <w:r>
        <w:rPr>
          <w:rFonts w:hint="eastAsia" w:ascii="Times New Roman" w:hAnsi="Times New Roman" w:eastAsia="方正仿宋_GBK"/>
          <w:spacing w:val="-6"/>
          <w:w w:val="110"/>
          <w:sz w:val="32"/>
          <w:szCs w:val="28"/>
          <w:lang w:eastAsia="zh-CN"/>
        </w:rPr>
        <w:t>疗卫生机构</w:t>
      </w:r>
      <w:r>
        <w:rPr>
          <w:rFonts w:hint="eastAsia" w:ascii="Times New Roman" w:hAnsi="Times New Roman" w:eastAsia="方正仿宋_GBK"/>
          <w:w w:val="110"/>
          <w:sz w:val="32"/>
          <w:szCs w:val="28"/>
          <w:lang w:eastAsia="zh-CN"/>
        </w:rPr>
        <w:t>2936.77</w:t>
      </w:r>
      <w:r>
        <w:rPr>
          <w:rFonts w:hint="eastAsia" w:ascii="Times New Roman" w:hAnsi="Times New Roman" w:eastAsia="方正仿宋_GBK"/>
          <w:spacing w:val="5"/>
          <w:w w:val="110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42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1"/>
          <w:w w:val="110"/>
          <w:sz w:val="32"/>
          <w:szCs w:val="28"/>
          <w:lang w:eastAsia="zh-CN"/>
        </w:rPr>
        <w:t>同比增长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0.28%</w:t>
      </w:r>
      <w:r>
        <w:rPr>
          <w:rFonts w:hint="eastAsia" w:ascii="Times New Roman" w:hAnsi="Times New Roman" w:eastAsia="方正仿宋_GBK"/>
          <w:spacing w:val="1"/>
          <w:w w:val="105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方正仿宋_GBK"/>
          <w:spacing w:val="2"/>
          <w:w w:val="105"/>
          <w:sz w:val="32"/>
          <w:szCs w:val="28"/>
          <w:lang w:eastAsia="zh-CN"/>
        </w:rPr>
        <w:t>专业公共卫生机构178.34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32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-8"/>
          <w:w w:val="105"/>
          <w:sz w:val="32"/>
          <w:szCs w:val="28"/>
          <w:lang w:eastAsia="zh-CN"/>
        </w:rPr>
        <w:t>同比</w:t>
      </w:r>
      <w:r>
        <w:rPr>
          <w:rFonts w:hint="eastAsia" w:ascii="Times New Roman" w:hAnsi="Times New Roman" w:eastAsia="方正仿宋_GBK"/>
          <w:spacing w:val="-8"/>
          <w:w w:val="105"/>
          <w:sz w:val="32"/>
          <w:szCs w:val="28"/>
          <w:lang w:val="en-US" w:eastAsia="zh-CN"/>
        </w:rPr>
        <w:t>下降0.77%</w:t>
      </w:r>
      <w:r>
        <w:rPr>
          <w:rFonts w:hint="eastAsia" w:ascii="Times New Roman" w:hAnsi="Times New Roman" w:eastAsia="方正仿宋_GBK"/>
          <w:spacing w:val="-5"/>
          <w:w w:val="105"/>
          <w:sz w:val="32"/>
          <w:szCs w:val="28"/>
          <w:lang w:eastAsia="zh-CN"/>
        </w:rPr>
        <w:t>。</w:t>
      </w:r>
    </w:p>
    <w:p>
      <w:pPr>
        <w:pStyle w:val="4"/>
        <w:spacing w:line="560" w:lineRule="exact"/>
        <w:ind w:firstLine="692" w:firstLineChars="200"/>
        <w:rPr>
          <w:rFonts w:ascii="Times New Roman" w:hAnsi="Times New Roman" w:eastAsia="方正仿宋_GBK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pacing w:val="5"/>
          <w:w w:val="105"/>
          <w:sz w:val="32"/>
          <w:szCs w:val="28"/>
          <w:lang w:eastAsia="zh-CN"/>
        </w:rPr>
        <w:t>将医院单独分析</w:t>
      </w:r>
      <w:r>
        <w:rPr>
          <w:rFonts w:hint="eastAsia" w:ascii="Times New Roman" w:hAnsi="Times New Roman" w:eastAsia="方正仿宋_GBK"/>
          <w:spacing w:val="-37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-1"/>
          <w:w w:val="105"/>
          <w:sz w:val="32"/>
          <w:szCs w:val="28"/>
          <w:lang w:eastAsia="zh-CN"/>
        </w:rPr>
        <w:t>分等级看</w:t>
      </w:r>
      <w:r>
        <w:rPr>
          <w:rFonts w:hint="eastAsia" w:ascii="Times New Roman" w:hAnsi="Times New Roman" w:eastAsia="方正仿宋_GBK"/>
          <w:spacing w:val="-35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三</w:t>
      </w:r>
      <w:r>
        <w:rPr>
          <w:rFonts w:hint="eastAsia" w:ascii="Times New Roman" w:hAnsi="Times New Roman" w:eastAsia="方正仿宋_GBK"/>
          <w:spacing w:val="-3"/>
          <w:w w:val="105"/>
          <w:sz w:val="32"/>
          <w:szCs w:val="28"/>
          <w:lang w:eastAsia="zh-CN"/>
        </w:rPr>
        <w:t>级医院总诊疗入次数1709.25</w:t>
      </w:r>
      <w:r>
        <w:rPr>
          <w:rFonts w:hint="eastAsia" w:ascii="Times New Roman" w:hAnsi="Times New Roman" w:eastAsia="方正仿宋_GBK"/>
          <w:spacing w:val="-2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37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同比增长9.08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二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级医院总诊疗人次数470.63</w:t>
      </w:r>
      <w:r>
        <w:rPr>
          <w:rFonts w:hint="eastAsia" w:ascii="Times New Roman" w:hAnsi="Times New Roman" w:eastAsia="方正仿宋_GBK"/>
          <w:spacing w:val="-4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24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-10"/>
          <w:w w:val="105"/>
          <w:sz w:val="32"/>
          <w:szCs w:val="28"/>
          <w:lang w:eastAsia="zh-CN"/>
        </w:rPr>
        <w:t>同比下降20.36</w:t>
      </w:r>
      <w:r>
        <w:rPr>
          <w:rFonts w:hint="eastAsia" w:ascii="Times New Roman" w:hAnsi="Times New Roman" w:eastAsia="方正仿宋_GBK"/>
          <w:spacing w:val="-10"/>
          <w:w w:val="105"/>
          <w:sz w:val="32"/>
          <w:szCs w:val="28"/>
          <w:lang w:val="en-US" w:eastAsia="zh-CN"/>
        </w:rPr>
        <w:t>%</w:t>
      </w:r>
      <w:r>
        <w:rPr>
          <w:rFonts w:hint="eastAsia" w:ascii="Times New Roman" w:hAnsi="Times New Roman" w:eastAsia="方正仿宋_GBK"/>
          <w:spacing w:val="-10"/>
          <w:w w:val="105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主要原因是部分二级医院升级为三级医院；一级医院总诊疗人</w:t>
      </w:r>
      <w:r>
        <w:rPr>
          <w:rFonts w:hint="eastAsia" w:ascii="Times New Roman" w:hAnsi="Times New Roman" w:eastAsia="方正仿宋_GBK"/>
          <w:spacing w:val="-26"/>
          <w:w w:val="105"/>
          <w:sz w:val="32"/>
          <w:szCs w:val="28"/>
          <w:lang w:eastAsia="zh-CN"/>
        </w:rPr>
        <w:t>次数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144.41</w:t>
      </w:r>
      <w:r>
        <w:rPr>
          <w:rFonts w:hint="eastAsia" w:ascii="Times New Roman" w:hAnsi="Times New Roman" w:eastAsia="方正仿宋_GBK"/>
          <w:spacing w:val="-5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40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5"/>
          <w:w w:val="105"/>
          <w:sz w:val="32"/>
          <w:szCs w:val="28"/>
          <w:lang w:eastAsia="zh-CN"/>
        </w:rPr>
        <w:t>同比</w:t>
      </w:r>
      <w:r>
        <w:rPr>
          <w:rFonts w:hint="eastAsia" w:ascii="Times New Roman" w:hAnsi="Times New Roman" w:eastAsia="方正仿宋_GBK"/>
          <w:spacing w:val="5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spacing w:val="5"/>
          <w:w w:val="105"/>
          <w:sz w:val="32"/>
          <w:szCs w:val="28"/>
          <w:lang w:eastAsia="zh-CN"/>
        </w:rPr>
        <w:t>0.44</w:t>
      </w:r>
      <w:r>
        <w:rPr>
          <w:rFonts w:ascii="Times New Roman" w:hAnsi="Times New Roman" w:eastAsia="方正仿宋_GBK"/>
          <w:spacing w:val="-3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。</w:t>
      </w:r>
      <w:r>
        <w:rPr>
          <w:rFonts w:hint="eastAsia" w:ascii="Times New Roman" w:hAnsi="Times New Roman" w:eastAsia="方正仿宋_GBK"/>
          <w:spacing w:val="-12"/>
          <w:w w:val="105"/>
          <w:sz w:val="32"/>
          <w:szCs w:val="28"/>
          <w:lang w:eastAsia="zh-CN"/>
        </w:rPr>
        <w:t>从经济类型看</w:t>
      </w:r>
      <w:r>
        <w:rPr>
          <w:rFonts w:hint="eastAsia" w:ascii="Times New Roman" w:hAnsi="Times New Roman" w:eastAsia="方正仿宋_GBK"/>
          <w:spacing w:val="-13"/>
          <w:sz w:val="32"/>
          <w:szCs w:val="28"/>
          <w:lang w:eastAsia="zh-CN"/>
        </w:rPr>
        <w:t>，公</w:t>
      </w:r>
      <w:r>
        <w:rPr>
          <w:rFonts w:hint="eastAsia" w:ascii="Times New Roman" w:hAnsi="Times New Roman" w:eastAsia="方正仿宋_GBK"/>
          <w:spacing w:val="-16"/>
          <w:w w:val="105"/>
          <w:sz w:val="32"/>
          <w:szCs w:val="28"/>
          <w:lang w:eastAsia="zh-CN"/>
        </w:rPr>
        <w:t>立医院1918.21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39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同</w:t>
      </w:r>
      <w:r>
        <w:rPr>
          <w:rFonts w:hint="eastAsia" w:ascii="Times New Roman" w:hAnsi="Times New Roman" w:eastAsia="方正仿宋_GBK"/>
          <w:spacing w:val="10"/>
          <w:w w:val="105"/>
          <w:sz w:val="32"/>
          <w:szCs w:val="28"/>
          <w:lang w:eastAsia="zh-CN"/>
        </w:rPr>
        <w:t>比增长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0.64%</w:t>
      </w:r>
      <w:r>
        <w:rPr>
          <w:rFonts w:hint="eastAsia" w:ascii="Times New Roman" w:hAnsi="Times New Roman" w:eastAsia="方正仿宋_GBK"/>
          <w:spacing w:val="7"/>
          <w:w w:val="105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方正仿宋_GBK"/>
          <w:spacing w:val="-11"/>
          <w:w w:val="105"/>
          <w:sz w:val="32"/>
          <w:szCs w:val="28"/>
          <w:lang w:eastAsia="zh-CN"/>
        </w:rPr>
        <w:t xml:space="preserve">民营医院450.60 </w:t>
      </w:r>
      <w:r>
        <w:rPr>
          <w:rFonts w:hint="eastAsia" w:ascii="Times New Roman" w:hAnsi="Times New Roman" w:eastAsia="方正仿宋_GBK"/>
          <w:spacing w:val="-5"/>
          <w:w w:val="105"/>
          <w:sz w:val="32"/>
          <w:szCs w:val="28"/>
          <w:lang w:eastAsia="zh-CN"/>
        </w:rPr>
        <w:t>万人次</w:t>
      </w:r>
      <w:r>
        <w:rPr>
          <w:rFonts w:hint="eastAsia" w:ascii="Times New Roman" w:hAnsi="Times New Roman" w:eastAsia="方正仿宋_GBK"/>
          <w:spacing w:val="-35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7"/>
          <w:w w:val="105"/>
          <w:sz w:val="32"/>
          <w:szCs w:val="28"/>
          <w:lang w:eastAsia="zh-CN"/>
        </w:rPr>
        <w:t>同比</w:t>
      </w:r>
      <w:r>
        <w:rPr>
          <w:rFonts w:hint="eastAsia" w:ascii="Times New Roman" w:hAnsi="Times New Roman" w:eastAsia="方正仿宋_GBK"/>
          <w:spacing w:val="7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spacing w:val="7"/>
          <w:w w:val="105"/>
          <w:sz w:val="32"/>
          <w:szCs w:val="28"/>
          <w:lang w:eastAsia="zh-CN"/>
        </w:rPr>
        <w:t>2.05%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。</w:t>
      </w:r>
    </w:p>
    <w:p>
      <w:pPr>
        <w:pStyle w:val="4"/>
        <w:spacing w:line="560" w:lineRule="exact"/>
        <w:ind w:firstLine="620" w:firstLineChars="200"/>
        <w:rPr>
          <w:rFonts w:ascii="Times New Roman" w:hAnsi="Times New Roman" w:eastAsia="方正仿宋_GBK"/>
          <w:spacing w:val="-7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spacing w:val="-13"/>
          <w:w w:val="105"/>
          <w:sz w:val="32"/>
          <w:szCs w:val="28"/>
          <w:lang w:eastAsia="zh-CN"/>
        </w:rPr>
        <w:t>从近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5</w:t>
      </w:r>
      <w:r>
        <w:rPr>
          <w:rFonts w:hint="eastAsia" w:ascii="Times New Roman" w:hAnsi="Times New Roman" w:eastAsia="方正仿宋_GBK"/>
          <w:spacing w:val="-9"/>
          <w:w w:val="105"/>
          <w:sz w:val="32"/>
          <w:szCs w:val="28"/>
          <w:lang w:eastAsia="zh-CN"/>
        </w:rPr>
        <w:t>年变化情况看</w:t>
      </w:r>
      <w:r>
        <w:rPr>
          <w:rFonts w:hint="eastAsia" w:ascii="Times New Roman" w:hAnsi="Times New Roman" w:eastAsia="方正仿宋_GBK"/>
          <w:spacing w:val="-34"/>
          <w:sz w:val="32"/>
          <w:szCs w:val="28"/>
          <w:lang w:eastAsia="zh-CN"/>
        </w:rPr>
        <w:t>，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总诊疗人次总体呈逐年增长趋势，年均增长10.21%。受疫情影响，202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年一季度总诊疗人次总量出现下降，2</w:t>
      </w:r>
      <w:r>
        <w:rPr>
          <w:rFonts w:ascii="Times New Roman" w:hAnsi="Times New Roman" w:eastAsia="方正仿宋_GBK"/>
          <w:spacing w:val="-7"/>
          <w:w w:val="105"/>
          <w:sz w:val="32"/>
          <w:szCs w:val="28"/>
          <w:lang w:eastAsia="zh-CN"/>
        </w:rPr>
        <w:t>021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年一季度总诊疗人次增幅则相对显著，同比增长3</w:t>
      </w:r>
      <w:r>
        <w:rPr>
          <w:rFonts w:ascii="Times New Roman" w:hAnsi="Times New Roman" w:eastAsia="方正仿宋_GBK"/>
          <w:spacing w:val="-7"/>
          <w:w w:val="105"/>
          <w:sz w:val="32"/>
          <w:szCs w:val="28"/>
          <w:lang w:eastAsia="zh-CN"/>
        </w:rPr>
        <w:t>9.92%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；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val="en-US" w:eastAsia="zh-CN"/>
        </w:rPr>
        <w:t>2025年一季度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总诊疗人次增幅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val="en-US" w:eastAsia="zh-CN"/>
        </w:rPr>
        <w:t>较2024年同期明显放缓</w:t>
      </w:r>
      <w:r>
        <w:rPr>
          <w:rFonts w:hint="eastAsia" w:ascii="Times New Roman" w:hAnsi="Times New Roman" w:eastAsia="方正仿宋_GBK"/>
          <w:spacing w:val="-7"/>
          <w:w w:val="105"/>
          <w:sz w:val="32"/>
          <w:szCs w:val="28"/>
          <w:lang w:eastAsia="zh-CN"/>
        </w:rPr>
        <w:t>。(见图1)</w:t>
      </w:r>
    </w:p>
    <w:p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4572000" cy="2743200"/>
            <wp:effectExtent l="4445" t="4445" r="14605" b="1460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4"/>
        <w:jc w:val="center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图 1 20</w:t>
      </w:r>
      <w:r>
        <w:rPr>
          <w:rFonts w:ascii="Times New Roman" w:hAnsi="Times New Roman" w:eastAsia="黑体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-2025年一季度全市医疗卫生机构总诊疗人次变化</w:t>
      </w:r>
    </w:p>
    <w:p>
      <w:pPr>
        <w:pStyle w:val="4"/>
        <w:spacing w:line="560" w:lineRule="exact"/>
        <w:ind w:firstLine="672" w:firstLineChars="200"/>
        <w:rPr>
          <w:rFonts w:ascii="Times New Roman" w:hAnsi="Times New Roman" w:eastAsia="黑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二、出院人数</w:t>
      </w:r>
      <w:r>
        <w:rPr>
          <w:rFonts w:hint="eastAsia" w:ascii="Times New Roman" w:hAnsi="Times New Roman" w:eastAsia="黑体"/>
          <w:w w:val="105"/>
          <w:sz w:val="32"/>
          <w:szCs w:val="28"/>
          <w:lang w:val="en-US" w:eastAsia="zh-CN"/>
        </w:rPr>
        <w:t>明显下降</w:t>
      </w: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，基层机构</w:t>
      </w:r>
      <w:r>
        <w:rPr>
          <w:rFonts w:hint="eastAsia" w:ascii="Times New Roman" w:hAnsi="Times New Roman" w:eastAsia="黑体"/>
          <w:w w:val="105"/>
          <w:sz w:val="32"/>
          <w:szCs w:val="28"/>
          <w:lang w:val="en-US" w:eastAsia="zh-CN"/>
        </w:rPr>
        <w:t>降幅</w:t>
      </w: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明显。</w:t>
      </w:r>
    </w:p>
    <w:p>
      <w:pPr>
        <w:pStyle w:val="4"/>
        <w:spacing w:line="560" w:lineRule="exact"/>
        <w:ind w:firstLine="672" w:firstLineChars="200"/>
        <w:rPr>
          <w:rFonts w:ascii="Times New Roman" w:hAnsi="Times New Roman" w:eastAsia="方正仿宋_GBK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一季度全市医疗卫生机构出院人数209.53万人，同比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12.35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。分机构类型看，医院出院人数146.28万人，同比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9.26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；基层医疗卫生机构出院人数56.15万人，同比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20.1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2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；专业公共卫生机构出院人数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7.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02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万人，同比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5.88%。</w:t>
      </w:r>
    </w:p>
    <w:p>
      <w:pPr>
        <w:pStyle w:val="4"/>
        <w:tabs>
          <w:tab w:val="left" w:pos="2200"/>
        </w:tabs>
        <w:spacing w:line="560" w:lineRule="exact"/>
        <w:ind w:firstLine="672" w:firstLineChars="200"/>
        <w:rPr>
          <w:rFonts w:ascii="Times New Roman" w:hAnsi="Times New Roman" w:eastAsia="方正仿宋_GBK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分经济类型看，公立医院、民营医院出院人数分别为114.28万人、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32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万人，同比分别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5.31%、21.02%；按隶属关系看，市级医院、区县级医院出院人数</w:t>
      </w:r>
      <w:r>
        <w:rPr>
          <w:rFonts w:ascii="Times New Roman" w:hAnsi="Times New Roman" w:eastAsia="方正仿宋_GBK"/>
          <w:w w:val="105"/>
          <w:sz w:val="32"/>
          <w:szCs w:val="28"/>
          <w:highlight w:val="none"/>
          <w:lang w:eastAsia="zh-CN"/>
        </w:rPr>
        <w:t>25.</w:t>
      </w:r>
      <w:r>
        <w:rPr>
          <w:rFonts w:hint="eastAsia" w:ascii="Times New Roman" w:hAnsi="Times New Roman" w:eastAsia="方正仿宋_GBK"/>
          <w:w w:val="105"/>
          <w:sz w:val="32"/>
          <w:szCs w:val="28"/>
          <w:highlight w:val="none"/>
          <w:lang w:val="en-US" w:eastAsia="zh-CN"/>
        </w:rPr>
        <w:t>74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万人、85.12万人，同比分别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增长0.69%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、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下降6.07%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；分医院等级看，三级医院出院人数99.68万人，同比增长4.79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，二级医院出院人数31.62万人，同比下降29.97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，一级医院出院人数11.93万人，同比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23.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10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。</w:t>
      </w:r>
    </w:p>
    <w:p>
      <w:pPr>
        <w:pStyle w:val="4"/>
        <w:spacing w:line="560" w:lineRule="exact"/>
        <w:ind w:left="0" w:leftChars="0" w:firstLine="672" w:firstLineChars="200"/>
        <w:rPr>
          <w:rFonts w:hint="eastAsia"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从近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5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年变化情况看，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2021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年至</w:t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2024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一季度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出院人数呈逐年递增趋势</w:t>
      </w:r>
      <w:r>
        <w:rPr>
          <w:rFonts w:hint="eastAsia" w:ascii="Times New Roman" w:hAnsi="Times New Roman" w:eastAsia="方正仿宋_GBK"/>
          <w:w w:val="105"/>
          <w:sz w:val="32"/>
          <w:szCs w:val="28"/>
          <w:lang w:val="en-US" w:eastAsia="zh-CN"/>
        </w:rPr>
        <w:t>；受医保控费力度加大等因素影响，2025年出院人数则出现明显下降。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（见图</w:t>
      </w:r>
      <w:r>
        <w:rPr>
          <w:rFonts w:ascii="Times New Roman" w:hAnsi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447675</wp:posOffset>
            </wp:positionV>
            <wp:extent cx="4572000" cy="2562225"/>
            <wp:effectExtent l="4445" t="4445" r="14605" b="5080"/>
            <wp:wrapTopAndBottom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 w:eastAsia="方正仿宋_GBK"/>
          <w:w w:val="105"/>
          <w:sz w:val="32"/>
          <w:szCs w:val="28"/>
          <w:lang w:eastAsia="zh-CN"/>
        </w:rPr>
        <w:t>2</w:t>
      </w:r>
      <w:r>
        <w:rPr>
          <w:rFonts w:hint="eastAsia" w:ascii="Times New Roman" w:hAnsi="Times New Roman" w:eastAsia="方正仿宋_GBK"/>
          <w:w w:val="105"/>
          <w:sz w:val="32"/>
          <w:szCs w:val="28"/>
          <w:lang w:eastAsia="zh-CN"/>
        </w:rPr>
        <w:t>）</w:t>
      </w:r>
    </w:p>
    <w:p>
      <w:pPr>
        <w:pStyle w:val="4"/>
        <w:spacing w:line="560" w:lineRule="exact"/>
        <w:ind w:firstLine="960"/>
        <w:jc w:val="center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图</w:t>
      </w:r>
      <w:r>
        <w:rPr>
          <w:rFonts w:ascii="Times New Roman" w:hAnsi="Times New Roman" w:eastAsia="黑体"/>
          <w:sz w:val="24"/>
          <w:szCs w:val="24"/>
          <w:lang w:eastAsia="zh-CN"/>
        </w:rPr>
        <w:t xml:space="preserve"> 2 202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2025年一季度全市医疗卫生机构出院人数变化</w:t>
      </w:r>
    </w:p>
    <w:p>
      <w:pPr>
        <w:pStyle w:val="4"/>
        <w:spacing w:line="560" w:lineRule="exact"/>
        <w:ind w:firstLine="672" w:firstLineChars="200"/>
        <w:rPr>
          <w:rFonts w:ascii="Times New Roman" w:hAnsi="Times New Roman" w:eastAsia="黑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三、</w:t>
      </w:r>
      <w:r>
        <w:rPr>
          <w:rFonts w:hint="eastAsia" w:ascii="Times New Roman" w:hAnsi="Times New Roman" w:eastAsia="黑体"/>
          <w:w w:val="105"/>
          <w:sz w:val="32"/>
          <w:szCs w:val="28"/>
          <w:lang w:val="en-US" w:eastAsia="zh-CN"/>
        </w:rPr>
        <w:t>全市</w:t>
      </w: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次均门诊费用</w:t>
      </w:r>
      <w:r>
        <w:rPr>
          <w:rFonts w:hint="eastAsia" w:ascii="Times New Roman" w:hAnsi="Times New Roman" w:eastAsia="黑体"/>
          <w:w w:val="105"/>
          <w:sz w:val="32"/>
          <w:szCs w:val="28"/>
          <w:lang w:val="en-US" w:eastAsia="zh-CN"/>
        </w:rPr>
        <w:t>略有增长，各类机构增减不一</w:t>
      </w:r>
      <w:r>
        <w:rPr>
          <w:rFonts w:hint="eastAsia" w:ascii="Times New Roman" w:hAnsi="Times New Roman" w:eastAsia="黑体"/>
          <w:w w:val="105"/>
          <w:sz w:val="32"/>
          <w:szCs w:val="28"/>
          <w:lang w:eastAsia="zh-CN"/>
        </w:rPr>
        <w:t>。</w:t>
      </w:r>
    </w:p>
    <w:p>
      <w:pPr>
        <w:spacing w:line="560" w:lineRule="exact"/>
        <w:ind w:firstLine="672" w:firstLineChars="200"/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一季度全市医疗卫生机构次均门诊费用295.8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0.72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</w:t>
      </w:r>
    </w:p>
    <w:p>
      <w:pPr>
        <w:spacing w:line="560" w:lineRule="exact"/>
        <w:ind w:firstLine="672" w:firstLineChars="200"/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医院次均门诊费用389.37元，同比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1.92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。分隶属关系看，市级医院次均门诊费用为493.15元，同比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2.47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，区县级医院301.19元，同比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0.08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；分经济类型看，公立医院次均门诊费用为351.75元，同比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1.44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，民营医院次均门诊费用549.47元，同比增长4.01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；分医院等级看，三级医院、一级医院次均门诊费费用399.39元、414.85元，同比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0.96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、7.85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，二级医院次均门诊费用334.84元，同比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0.76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。基层医疗卫生机构次均门诊费用128.65元，同比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1.12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。其中，社区卫生服务中心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(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站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)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次均门诊费用为105.86元，同比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下降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2.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09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</w:t>
      </w:r>
    </w:p>
    <w:p>
      <w:pPr>
        <w:ind w:firstLine="672" w:firstLineChars="200"/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从近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5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年变化情况看，全市医疗卫生机构次均门诊费用总体呈平稳增长趋势，从2021年一季度的285.53元增长至2025年一季度的295.8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元，年均增长0.89%。其中，医院从350.51元增长至389.37元，年均增长2.66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；基层医疗卫生机构从127.11元增长至128.65元，年均增长0.30%；专业公共卫生机构从296.40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元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增长至295.08元，年均增长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-0.11%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。（见图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3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）</w:t>
      </w:r>
    </w:p>
    <w:p>
      <w:pPr>
        <w:ind w:firstLine="660" w:firstLineChars="300"/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ascii="Times New Roman" w:hAnsi="Times New Roman"/>
        </w:rPr>
        <w:drawing>
          <wp:inline distT="0" distB="0" distL="114300" distR="114300">
            <wp:extent cx="4572000" cy="2562225"/>
            <wp:effectExtent l="4445" t="4445" r="14605" b="5080"/>
            <wp:docPr id="5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ind w:firstLine="960" w:firstLineChars="400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图</w:t>
      </w:r>
      <w:r>
        <w:rPr>
          <w:rFonts w:ascii="Times New Roman" w:hAnsi="Times New Roman" w:eastAsia="黑体"/>
          <w:sz w:val="24"/>
          <w:szCs w:val="24"/>
          <w:lang w:eastAsia="zh-CN"/>
        </w:rPr>
        <w:t xml:space="preserve"> 3 202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2025年一季度全市医疗卫生机构次均门诊费用变化</w:t>
      </w:r>
    </w:p>
    <w:p>
      <w:pPr>
        <w:pStyle w:val="4"/>
        <w:spacing w:line="560" w:lineRule="exact"/>
        <w:ind w:firstLine="672" w:firstLineChars="200"/>
        <w:rPr>
          <w:rFonts w:ascii="Times New Roman" w:hAnsi="Times New Roman" w:eastAsia="黑体"/>
          <w:w w:val="105"/>
          <w:sz w:val="32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/>
          <w:w w:val="105"/>
          <w:sz w:val="32"/>
          <w:szCs w:val="28"/>
          <w:highlight w:val="none"/>
          <w:lang w:eastAsia="zh-CN"/>
        </w:rPr>
        <w:t>四、大型公立医疗机构次均住院费用</w:t>
      </w:r>
      <w:r>
        <w:rPr>
          <w:rFonts w:hint="eastAsia" w:ascii="Times New Roman" w:hAnsi="Times New Roman" w:eastAsia="黑体"/>
          <w:w w:val="105"/>
          <w:sz w:val="32"/>
          <w:szCs w:val="28"/>
          <w:highlight w:val="none"/>
          <w:lang w:val="en-US" w:eastAsia="zh-CN"/>
        </w:rPr>
        <w:t>降幅相对</w:t>
      </w:r>
      <w:r>
        <w:rPr>
          <w:rFonts w:hint="eastAsia" w:ascii="Times New Roman" w:hAnsi="Times New Roman" w:eastAsia="黑体"/>
          <w:w w:val="105"/>
          <w:sz w:val="32"/>
          <w:szCs w:val="28"/>
          <w:highlight w:val="none"/>
          <w:lang w:eastAsia="zh-CN"/>
        </w:rPr>
        <w:t>明显。</w:t>
      </w:r>
    </w:p>
    <w:p>
      <w:pPr>
        <w:tabs>
          <w:tab w:val="left" w:pos="6600"/>
          <w:tab w:val="left" w:pos="7700"/>
        </w:tabs>
        <w:spacing w:line="560" w:lineRule="exact"/>
        <w:ind w:firstLine="672" w:firstLineChars="200"/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一季度全市医疗机构次均住院费用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 w:bidi="ar-SA"/>
        </w:rPr>
        <w:t>6859.49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增加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0.17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。其中，医院8792.77元，同比下降2.01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；基层医疗卫生机构2091.26元，同比下降5.88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；专业公共卫生机构4704.55元，同比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增长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4.04%。</w:t>
      </w:r>
    </w:p>
    <w:p>
      <w:pPr>
        <w:spacing w:line="560" w:lineRule="exact"/>
        <w:ind w:firstLine="672" w:firstLineChars="200"/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将医院单独分析，按隶属关系看，市级医院14153.68元，同比下降4.68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，区县级医院7893.89元，同比下降3.99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。分经济类型看，公立医院9284.28元，同比下降3.05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；民营医院7037.92元，同比下降1.91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。按等级分，三级医院10031.54元，同比下降6.6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，二级医院6758.79元，同比下降4.73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，一级医院4607.79元，同比下降2.29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。总体而言，大型公立医疗机构次均住院费用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降幅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相对明显。</w:t>
      </w:r>
    </w:p>
    <w:p>
      <w:pPr>
        <w:spacing w:line="560" w:lineRule="exact"/>
        <w:ind w:firstLine="672" w:firstLineChars="200"/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</w:pP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从近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5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年变化情况看，全市医疗卫生机构次均住院费用从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202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1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年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的7597.72元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降低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至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202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年的6859.49元，年均增长率为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val="en-US" w:eastAsia="zh-CN"/>
        </w:rPr>
        <w:t>-2.52%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。其中，医院、基层医疗卫生机构、专业公共卫生机构次均住院费用年均增速分别为-3.11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%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、-2.47%、-0.21%，各类机构医疗费用控制效果明显。（见图</w:t>
      </w:r>
      <w:r>
        <w:rPr>
          <w:rFonts w:ascii="Times New Roman" w:hAnsi="Times New Roman" w:eastAsia="方正仿宋_GBK" w:cs="宋体"/>
          <w:w w:val="105"/>
          <w:sz w:val="32"/>
          <w:szCs w:val="28"/>
          <w:lang w:eastAsia="zh-CN"/>
        </w:rPr>
        <w:t>4</w:t>
      </w:r>
      <w:r>
        <w:rPr>
          <w:rFonts w:hint="eastAsia" w:ascii="Times New Roman" w:hAnsi="Times New Roman" w:eastAsia="方正仿宋_GBK" w:cs="宋体"/>
          <w:w w:val="105"/>
          <w:sz w:val="32"/>
          <w:szCs w:val="28"/>
          <w:lang w:eastAsia="zh-CN"/>
        </w:rPr>
        <w:t>）</w:t>
      </w:r>
    </w:p>
    <w:p>
      <w:pPr>
        <w:spacing w:line="560" w:lineRule="exact"/>
        <w:ind w:firstLine="440" w:firstLineChars="200"/>
        <w:jc w:val="center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177800</wp:posOffset>
            </wp:positionV>
            <wp:extent cx="4572000" cy="2562225"/>
            <wp:effectExtent l="0" t="0" r="0" b="952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图</w:t>
      </w:r>
      <w:r>
        <w:rPr>
          <w:rFonts w:ascii="Times New Roman" w:hAnsi="Times New Roman" w:eastAsia="黑体"/>
          <w:sz w:val="24"/>
          <w:szCs w:val="24"/>
          <w:lang w:eastAsia="zh-CN"/>
        </w:rPr>
        <w:t xml:space="preserve"> 4 202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黑体"/>
          <w:sz w:val="24"/>
          <w:szCs w:val="24"/>
          <w:lang w:eastAsia="zh-CN"/>
        </w:rPr>
        <w:t>-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2025年一季度全市医疗卫生机构次均住院费用情况</w:t>
      </w:r>
    </w:p>
    <w:p>
      <w:pPr>
        <w:spacing w:line="560" w:lineRule="exact"/>
        <w:ind w:firstLine="960" w:firstLineChars="400"/>
        <w:jc w:val="right"/>
        <w:rPr>
          <w:rFonts w:ascii="Times New Roman" w:hAnsi="Times New Roman" w:eastAsia="黑体"/>
          <w:sz w:val="24"/>
          <w:szCs w:val="24"/>
          <w:lang w:eastAsia="zh-CN"/>
        </w:rPr>
      </w:pPr>
    </w:p>
    <w:p>
      <w:pPr>
        <w:spacing w:line="560" w:lineRule="exact"/>
        <w:ind w:firstLine="960" w:firstLineChars="400"/>
        <w:jc w:val="right"/>
        <w:rPr>
          <w:rFonts w:ascii="Times New Roman" w:hAnsi="Times New Roman" w:eastAsia="黑体"/>
          <w:sz w:val="24"/>
          <w:szCs w:val="24"/>
          <w:lang w:eastAsia="zh-CN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(信息统计处、市卫生健康统计信息中心</w:t>
      </w:r>
      <w:r>
        <w:rPr>
          <w:rFonts w:ascii="Times New Roman" w:hAnsi="Times New Roman" w:eastAsia="黑体"/>
          <w:sz w:val="24"/>
          <w:szCs w:val="24"/>
          <w:lang w:eastAsia="zh-CN"/>
        </w:rPr>
        <w:t>)</w:t>
      </w:r>
    </w:p>
    <w:p>
      <w:pPr>
        <w:spacing w:line="560" w:lineRule="exact"/>
        <w:ind w:firstLine="1280" w:firstLineChars="400"/>
        <w:jc w:val="right"/>
        <w:rPr>
          <w:rFonts w:ascii="Times New Roman" w:hAnsi="Times New Roman" w:eastAsia="黑体"/>
          <w:sz w:val="32"/>
          <w:szCs w:val="32"/>
          <w:lang w:eastAsia="zh-CN"/>
        </w:rPr>
      </w:pPr>
    </w:p>
    <w:p>
      <w:pPr>
        <w:spacing w:line="560" w:lineRule="exact"/>
        <w:ind w:firstLine="1280" w:firstLineChars="400"/>
        <w:jc w:val="right"/>
        <w:rPr>
          <w:rFonts w:ascii="黑体" w:hAnsi="黑体" w:eastAsia="黑体"/>
          <w:sz w:val="32"/>
          <w:szCs w:val="32"/>
          <w:lang w:eastAsia="zh-CN"/>
        </w:rPr>
      </w:pPr>
    </w:p>
    <w:p>
      <w:pPr>
        <w:spacing w:line="560" w:lineRule="exact"/>
        <w:rPr>
          <w:rFonts w:ascii="黑体" w:hAnsi="黑体" w:eastAsia="黑体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附表</w:t>
      </w:r>
    </w:p>
    <w:tbl>
      <w:tblPr>
        <w:tblStyle w:val="9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1025"/>
        <w:gridCol w:w="1026"/>
        <w:gridCol w:w="1026"/>
        <w:gridCol w:w="1026"/>
        <w:gridCol w:w="1026"/>
        <w:gridCol w:w="1026"/>
        <w:gridCol w:w="970"/>
        <w:gridCol w:w="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 1  2021－2025年一季度全市医疗卫生机构总诊疗人次数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单位：万人次、%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指标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Style w:val="16"/>
                <w:lang w:val="en-US" w:eastAsia="zh-CN" w:bidi="ar"/>
              </w:rPr>
              <w:t xml:space="preserve">    </w:t>
            </w:r>
            <w:r>
              <w:rPr>
                <w:rStyle w:val="15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2024年</w:t>
            </w:r>
            <w:r>
              <w:rPr>
                <w:rStyle w:val="16"/>
                <w:lang w:val="en-US" w:eastAsia="zh-CN" w:bidi="ar"/>
              </w:rPr>
              <w:t xml:space="preserve">   </w:t>
            </w:r>
            <w:r>
              <w:rPr>
                <w:rStyle w:val="15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2023年</w:t>
            </w:r>
            <w:r>
              <w:rPr>
                <w:rStyle w:val="16"/>
                <w:lang w:val="en-US" w:eastAsia="zh-CN" w:bidi="ar"/>
              </w:rPr>
              <w:t xml:space="preserve">   </w:t>
            </w:r>
            <w:r>
              <w:rPr>
                <w:rStyle w:val="15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2022年</w:t>
            </w:r>
            <w:r>
              <w:rPr>
                <w:rStyle w:val="16"/>
                <w:lang w:val="en-US" w:eastAsia="zh-CN" w:bidi="ar"/>
              </w:rPr>
              <w:t xml:space="preserve">    </w:t>
            </w:r>
            <w:r>
              <w:rPr>
                <w:rStyle w:val="15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2021年</w:t>
            </w:r>
            <w:r>
              <w:rPr>
                <w:rStyle w:val="16"/>
                <w:lang w:val="en-US" w:eastAsia="zh-CN" w:bidi="ar"/>
              </w:rPr>
              <w:t xml:space="preserve">   </w:t>
            </w:r>
            <w:r>
              <w:rPr>
                <w:rStyle w:val="15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同比</w:t>
            </w:r>
            <w:r>
              <w:rPr>
                <w:rStyle w:val="16"/>
                <w:lang w:val="en-US" w:eastAsia="zh-CN" w:bidi="ar"/>
              </w:rPr>
              <w:t xml:space="preserve">      </w:t>
            </w:r>
            <w:r>
              <w:rPr>
                <w:rStyle w:val="15"/>
                <w:lang w:val="en-US" w:eastAsia="zh-CN" w:bidi="ar"/>
              </w:rPr>
              <w:t>增长率</w:t>
            </w:r>
          </w:p>
        </w:tc>
        <w:tc>
          <w:tcPr>
            <w:tcW w:w="567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年均</w:t>
            </w:r>
            <w:r>
              <w:rPr>
                <w:rStyle w:val="16"/>
                <w:lang w:val="en-US" w:eastAsia="zh-CN" w:bidi="ar"/>
              </w:rPr>
              <w:t xml:space="preserve">       </w:t>
            </w:r>
            <w:r>
              <w:rPr>
                <w:rStyle w:val="15"/>
                <w:lang w:val="en-US" w:eastAsia="zh-CN" w:bidi="ar"/>
              </w:rPr>
              <w:t>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5484.81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5474.93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3.94</w:t>
            </w: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3944.07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3718.39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0.18</w:t>
            </w: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2368.81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2366.10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2061.81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2159.76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2116.08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公立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1918.21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1906.06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1651.35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1744.00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1742.18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 xml:space="preserve">   #市级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523.18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514.17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421.42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448.57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422.97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区县级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1325.40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1311.47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1148.05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1209.47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1223.97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民营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450.60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460.04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410.46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415.76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373.90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-2.05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 xml:space="preserve">   #三级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1709.25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1567.04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1139.98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1083.44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971.01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9.08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二级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470.63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590.98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727.16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850.82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932.03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-20.36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一级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144.41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145.05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123.84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138.93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128.27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-0.44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#综合医院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1559.74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1566.38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1368.83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1447.35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1440.62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中医医院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474.42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455.20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384.30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395.07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379.16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专科医院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296.93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306.75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275.31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283.13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259.56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-3.20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2936.77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2928.47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2095.76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1585.77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1424.18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#社区卫生服务中心(站)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532.94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505.61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424.29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340.58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281.56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 xml:space="preserve">   卫生院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685.78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683.53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589.38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630.79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541.34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村卫生室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555.73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410.37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446.58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-5.70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8"/>
                <w:lang w:val="en-US" w:eastAsia="zh-CN" w:bidi="ar"/>
              </w:rPr>
              <w:t>专业公共卫生机构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178.34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179.73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176.28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198.09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-0.77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#专科疾病防治机构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20.89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-13.55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妇幼保健机构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175.98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177.77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172.15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194.44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173.28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-1.01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527" w:hRule="atLeast"/>
          <w:jc w:val="center"/>
        </w:trPr>
        <w:tc>
          <w:tcPr>
            <w:tcW w:w="96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 2  2021－2025年一季度全市医疗卫生机构出院人数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单位：万人</w:t>
            </w: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019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增长率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209.53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239.05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205.37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185.39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171.68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-12.35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146.28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127.77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-9.26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公立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114.28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103.98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-5.31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#市级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25.74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25.57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20.53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17.82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区县级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-6.07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民营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-21.02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#三级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95.13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4.79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二级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-29.97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-11.02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一级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13.51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-23.09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#综合医院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100.27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110.17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-8.98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中医医院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33.71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29.47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22.14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-9.60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专科医院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12.63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12.24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-5.13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49.73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-20.11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#社区卫生服务中心(站)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11.93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14.54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-17.96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卫生院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45.32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-20.49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专业公共卫生机构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-5.88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2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#妇幼保健院（所、站）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7.02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5.15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-5.85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8.08 </w:t>
            </w:r>
          </w:p>
        </w:tc>
      </w:tr>
    </w:tbl>
    <w:p>
      <w:pPr>
        <w:spacing w:line="560" w:lineRule="exact"/>
        <w:ind w:firstLine="1440"/>
        <w:rPr>
          <w:rFonts w:ascii="黑体" w:hAnsi="黑体" w:eastAsia="黑体"/>
          <w:sz w:val="20"/>
          <w:szCs w:val="20"/>
          <w:lang w:eastAsia="zh-CN"/>
        </w:rPr>
      </w:pPr>
    </w:p>
    <w:p>
      <w:pPr>
        <w:spacing w:line="560" w:lineRule="exact"/>
        <w:ind w:firstLine="1440"/>
        <w:rPr>
          <w:rFonts w:ascii="黑体" w:hAnsi="黑体" w:eastAsia="黑体"/>
          <w:sz w:val="20"/>
          <w:szCs w:val="20"/>
          <w:lang w:eastAsia="zh-CN"/>
        </w:rPr>
      </w:pPr>
    </w:p>
    <w:p>
      <w:pPr>
        <w:spacing w:line="560" w:lineRule="exact"/>
        <w:ind w:firstLine="1440"/>
        <w:rPr>
          <w:rFonts w:ascii="黑体" w:hAnsi="黑体" w:eastAsia="黑体"/>
          <w:sz w:val="20"/>
          <w:szCs w:val="20"/>
          <w:lang w:eastAsia="zh-CN"/>
        </w:rPr>
      </w:pPr>
    </w:p>
    <w:tbl>
      <w:tblPr>
        <w:tblStyle w:val="9"/>
        <w:tblW w:w="97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9"/>
        <w:gridCol w:w="991"/>
        <w:gridCol w:w="983"/>
        <w:gridCol w:w="976"/>
        <w:gridCol w:w="975"/>
        <w:gridCol w:w="985"/>
        <w:gridCol w:w="986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  2021－2025年一季度全市医疗卫生机构次均门诊费用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元、</w:t>
            </w: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sz w:val="20"/>
                <w:szCs w:val="20"/>
                <w:lang w:val="en-US" w:eastAsia="zh-CN" w:bidi="ar"/>
              </w:rPr>
              <w:t>指标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同比增长率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年均增长率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295.80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293.69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300.45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292.19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285.53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389.37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382.05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392.98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366.82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公立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351.75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346.74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361.79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340.72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322.64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#市级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493.15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481.24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515.68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477.91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469.09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区县级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301.19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300.96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313.24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297.01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279.58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民营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549.47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528.30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518.40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476.29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single" w:color="CCCCCC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480.33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#三级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399.39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395.61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428.07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414.20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398.52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二级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334.84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337.39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333.30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301.09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287.48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一级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414.85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384.66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425.38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386.49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393.10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#综合医院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357.13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349.78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365.08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339.59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321.94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中医医院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327.86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320.49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338.58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312.50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299.23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专科医院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668.59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648.01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615.14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589.23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592.48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128.65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130.10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129.18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138.13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127.11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社区卫生服务中心(站)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105.86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108.12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98.40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142.40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135.51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-5.99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卫生院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90.86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93.28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94.31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92.06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94.56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门诊部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488.28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476.04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528.30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519.47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394.79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专业公共卫生机构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295.08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308.05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289.80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289.89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296.40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-4.21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专科疾病防治机构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131.34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176.74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169.45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180.39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244.33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-25.69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-14.37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68" w:type="dxa"/>
            <w:tcBorders>
              <w:top w:val="single" w:color="CCCCCC" w:sz="4" w:space="0"/>
              <w:left w:val="single" w:color="CCCCCC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#妇幼保健院（所、站）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297.28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309.50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292.68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291.94 </w:t>
            </w:r>
          </w:p>
        </w:tc>
        <w:tc>
          <w:tcPr>
            <w:tcW w:w="567" w:type="dxa"/>
            <w:tcBorders>
              <w:top w:val="single" w:color="CCCCCC" w:sz="4" w:space="0"/>
              <w:left w:val="single" w:color="CCCCCC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297.67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-3.95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-0.03</w:t>
            </w:r>
          </w:p>
        </w:tc>
      </w:tr>
    </w:tbl>
    <w:p>
      <w:pPr>
        <w:spacing w:line="560" w:lineRule="exact"/>
        <w:ind w:firstLine="1440"/>
        <w:rPr>
          <w:rFonts w:ascii="黑体" w:hAnsi="黑体" w:eastAsia="黑体"/>
          <w:sz w:val="20"/>
          <w:szCs w:val="20"/>
          <w:lang w:eastAsia="zh-CN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1128"/>
        <w:gridCol w:w="1170"/>
        <w:gridCol w:w="1080"/>
        <w:gridCol w:w="1050"/>
        <w:gridCol w:w="1020"/>
        <w:gridCol w:w="1049"/>
        <w:gridCol w:w="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表4  2021－2025年一季度全市医疗卫生机构次均住院费用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方正仿宋" w:hAnsi="方正仿宋" w:eastAsia="方正仿宋" w:cs="方正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</w:t>
            </w: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元、</w:t>
            </w:r>
            <w:r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1128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20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一季度</w:t>
            </w:r>
          </w:p>
        </w:tc>
        <w:tc>
          <w:tcPr>
            <w:tcW w:w="1049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同比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增长率</w:t>
            </w:r>
          </w:p>
        </w:tc>
        <w:tc>
          <w:tcPr>
            <w:tcW w:w="955" w:type="dxa"/>
            <w:tcBorders>
              <w:top w:val="single" w:color="000000" w:sz="8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年均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增长率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center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6859.49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6847.90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7783.92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7572.30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7597.72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0.17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8792.77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8972.72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10023.98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9828.28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9976.40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-2.01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公立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9284.28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9576.40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10910.79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10825.15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default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11138.50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-3.05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#市级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14153.68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14848.71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16658.38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16750.07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18071.36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-4.68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区县级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7893.89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8221.73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9335.16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9155.04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9317.69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-3.99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民营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7037.92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7174.69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7657.67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7278.16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6966.74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-1.91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#三级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10031.54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10740.49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12796.86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13106.09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14051.83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-6.60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-8.08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二级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6758.79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7094.35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8252.90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8178.16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8288.37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-4.73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一级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4607.79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4715.65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5126.87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5155.72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4862.28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-2.29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#综合医院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8974.69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9156.32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10306.70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10028.00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10227.38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-1.98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中医医院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7056.62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7438.66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8262.17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8040.75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8133.39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-5.14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专科医院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12338.57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12327.53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13103.14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13047.95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13234.06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0.09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基层医疗卫生机构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2091.26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2221.86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2416.01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2316.76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2311.64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-5.88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社区卫生服务中心(站)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2365.57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2484.13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2751.70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2698.06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2684.71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-4.77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卫生院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2017.22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2158.42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2343.83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2245.85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2244.37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-6.54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-2.63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专业公共卫生机构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4704.55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4521.95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4913.49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4809.28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4743.45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4.04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#专科疾病防治机构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2929.47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3433.17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3207.33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3215.80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4887.18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-14.67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-12.01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25" w:type="dxa"/>
            <w:tcBorders>
              <w:top w:val="nil"/>
              <w:left w:val="single" w:color="CCCCCC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lef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妇幼保健机构</w:t>
            </w:r>
          </w:p>
        </w:tc>
        <w:tc>
          <w:tcPr>
            <w:tcW w:w="1128" w:type="dxa"/>
            <w:tcBorders>
              <w:top w:val="nil"/>
              <w:left w:val="single" w:color="CCCCCC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4705.03 </w:t>
            </w:r>
          </w:p>
        </w:tc>
        <w:tc>
          <w:tcPr>
            <w:tcW w:w="1170" w:type="dxa"/>
            <w:tcBorders>
              <w:top w:val="nil"/>
              <w:left w:val="single" w:color="CCCCCC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4522.55 </w:t>
            </w:r>
          </w:p>
        </w:tc>
        <w:tc>
          <w:tcPr>
            <w:tcW w:w="1080" w:type="dxa"/>
            <w:tcBorders>
              <w:top w:val="nil"/>
              <w:left w:val="single" w:color="CCCCCC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4914.37 </w:t>
            </w:r>
          </w:p>
        </w:tc>
        <w:tc>
          <w:tcPr>
            <w:tcW w:w="1050" w:type="dxa"/>
            <w:tcBorders>
              <w:top w:val="nil"/>
              <w:left w:val="single" w:color="CCCCCC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4810.67 </w:t>
            </w:r>
          </w:p>
        </w:tc>
        <w:tc>
          <w:tcPr>
            <w:tcW w:w="1020" w:type="dxa"/>
            <w:tcBorders>
              <w:top w:val="nil"/>
              <w:left w:val="single" w:color="CCCCCC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4743.34 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4.03 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/>
              <w:autoSpaceDN/>
              <w:spacing w:line="400" w:lineRule="exact"/>
              <w:jc w:val="right"/>
              <w:textAlignment w:val="center"/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" w:hAnsi="方正仿宋" w:eastAsia="方正仿宋" w:cs="方正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-0.20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5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仿宋">
    <w:altName w:val="方正仿宋_GBK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OTQwNzFhYzM4MTk0OWQ2MzMyZTFmMjU2ZTNjZTIifQ=="/>
  </w:docVars>
  <w:rsids>
    <w:rsidRoot w:val="00F96B47"/>
    <w:rsid w:val="00047922"/>
    <w:rsid w:val="00052892"/>
    <w:rsid w:val="00095507"/>
    <w:rsid w:val="000E647F"/>
    <w:rsid w:val="001B6D84"/>
    <w:rsid w:val="001E0645"/>
    <w:rsid w:val="001E0714"/>
    <w:rsid w:val="001F7FDE"/>
    <w:rsid w:val="00222AA8"/>
    <w:rsid w:val="002424C5"/>
    <w:rsid w:val="002742E3"/>
    <w:rsid w:val="002D0C57"/>
    <w:rsid w:val="00351721"/>
    <w:rsid w:val="0038679F"/>
    <w:rsid w:val="003B167D"/>
    <w:rsid w:val="004128DA"/>
    <w:rsid w:val="00482F73"/>
    <w:rsid w:val="004C4FDD"/>
    <w:rsid w:val="00532F11"/>
    <w:rsid w:val="00564772"/>
    <w:rsid w:val="00572CEA"/>
    <w:rsid w:val="005C780D"/>
    <w:rsid w:val="005D15B7"/>
    <w:rsid w:val="005F6078"/>
    <w:rsid w:val="006247CB"/>
    <w:rsid w:val="00636295"/>
    <w:rsid w:val="006466EE"/>
    <w:rsid w:val="00660DD8"/>
    <w:rsid w:val="006773F5"/>
    <w:rsid w:val="0069667C"/>
    <w:rsid w:val="006E09C7"/>
    <w:rsid w:val="006E2B16"/>
    <w:rsid w:val="006F24AC"/>
    <w:rsid w:val="0076694B"/>
    <w:rsid w:val="007F3CBE"/>
    <w:rsid w:val="008E60BF"/>
    <w:rsid w:val="00930024"/>
    <w:rsid w:val="0093439A"/>
    <w:rsid w:val="009559E8"/>
    <w:rsid w:val="00997345"/>
    <w:rsid w:val="009A06BA"/>
    <w:rsid w:val="00A02C45"/>
    <w:rsid w:val="00B4781B"/>
    <w:rsid w:val="00B6458B"/>
    <w:rsid w:val="00BF0F78"/>
    <w:rsid w:val="00C008B1"/>
    <w:rsid w:val="00C25D52"/>
    <w:rsid w:val="00C42034"/>
    <w:rsid w:val="00C82D0D"/>
    <w:rsid w:val="00CD1034"/>
    <w:rsid w:val="00CD1E65"/>
    <w:rsid w:val="00D82526"/>
    <w:rsid w:val="00DF0EBE"/>
    <w:rsid w:val="00E21D4D"/>
    <w:rsid w:val="00E459E4"/>
    <w:rsid w:val="00E71585"/>
    <w:rsid w:val="00E8664D"/>
    <w:rsid w:val="00F052EB"/>
    <w:rsid w:val="00F96B47"/>
    <w:rsid w:val="00FA48DD"/>
    <w:rsid w:val="00FD5B51"/>
    <w:rsid w:val="01514187"/>
    <w:rsid w:val="02007BB7"/>
    <w:rsid w:val="03140117"/>
    <w:rsid w:val="07B90CB8"/>
    <w:rsid w:val="07C45057"/>
    <w:rsid w:val="07E6312F"/>
    <w:rsid w:val="087E03FC"/>
    <w:rsid w:val="0EFED98E"/>
    <w:rsid w:val="10DB1532"/>
    <w:rsid w:val="13B82E4E"/>
    <w:rsid w:val="1A1E7BF7"/>
    <w:rsid w:val="1C3B1844"/>
    <w:rsid w:val="1C57790E"/>
    <w:rsid w:val="22CF1D97"/>
    <w:rsid w:val="251C4037"/>
    <w:rsid w:val="270C1D9E"/>
    <w:rsid w:val="2E627104"/>
    <w:rsid w:val="2E635958"/>
    <w:rsid w:val="2EF9E7BE"/>
    <w:rsid w:val="2F407445"/>
    <w:rsid w:val="30A13F14"/>
    <w:rsid w:val="33703F8B"/>
    <w:rsid w:val="33F674D1"/>
    <w:rsid w:val="356B0CF0"/>
    <w:rsid w:val="37054AD1"/>
    <w:rsid w:val="3AD24B9C"/>
    <w:rsid w:val="3ADE025F"/>
    <w:rsid w:val="3B181276"/>
    <w:rsid w:val="3B2C6AD0"/>
    <w:rsid w:val="3D751210"/>
    <w:rsid w:val="3F1B42A4"/>
    <w:rsid w:val="3F5B5BD6"/>
    <w:rsid w:val="4521323E"/>
    <w:rsid w:val="45D93CF8"/>
    <w:rsid w:val="4ED66054"/>
    <w:rsid w:val="52BD70C9"/>
    <w:rsid w:val="55393E6B"/>
    <w:rsid w:val="56903F5F"/>
    <w:rsid w:val="58951D01"/>
    <w:rsid w:val="590E6C01"/>
    <w:rsid w:val="59830505"/>
    <w:rsid w:val="5AA93841"/>
    <w:rsid w:val="5FDFF89E"/>
    <w:rsid w:val="67B815D4"/>
    <w:rsid w:val="69B70E4C"/>
    <w:rsid w:val="6AB204F0"/>
    <w:rsid w:val="6B067705"/>
    <w:rsid w:val="729F7CC7"/>
    <w:rsid w:val="72D03C09"/>
    <w:rsid w:val="75FF743F"/>
    <w:rsid w:val="77A61681"/>
    <w:rsid w:val="7DEB437C"/>
    <w:rsid w:val="7F7DD321"/>
    <w:rsid w:val="7FF62106"/>
    <w:rsid w:val="ABBF3496"/>
    <w:rsid w:val="DCFE9BB0"/>
    <w:rsid w:val="E57F20BD"/>
    <w:rsid w:val="FBF46077"/>
    <w:rsid w:val="FD2F931A"/>
    <w:rsid w:val="FDFDB04D"/>
    <w:rsid w:val="FF3FC424"/>
    <w:rsid w:val="FFF5F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99"/>
    <w:pPr>
      <w:ind w:left="1680"/>
    </w:pPr>
  </w:style>
  <w:style w:type="paragraph" w:styleId="4">
    <w:name w:val="Body Text"/>
    <w:basedOn w:val="1"/>
    <w:link w:val="12"/>
    <w:unhideWhenUsed/>
    <w:qFormat/>
    <w:uiPriority w:val="1"/>
    <w:rPr>
      <w:rFonts w:ascii="宋体" w:hAnsi="宋体" w:eastAsia="宋体" w:cs="宋体"/>
      <w:sz w:val="21"/>
      <w:szCs w:val="21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ind w:firstLine="630"/>
    </w:pPr>
    <w:rPr>
      <w:rFonts w:ascii="仿宋_GB2312" w:eastAsia="仿宋_GB2312"/>
    </w:rPr>
  </w:style>
  <w:style w:type="paragraph" w:styleId="7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/>
      <w:sz w:val="24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 字符"/>
    <w:basedOn w:val="10"/>
    <w:link w:val="4"/>
    <w:qFormat/>
    <w:uiPriority w:val="1"/>
    <w:rPr>
      <w:rFonts w:ascii="宋体" w:hAnsi="宋体" w:eastAsia="宋体" w:cs="宋体"/>
      <w:kern w:val="0"/>
      <w:szCs w:val="21"/>
      <w:lang w:eastAsia="en-US"/>
    </w:rPr>
  </w:style>
  <w:style w:type="character" w:customStyle="1" w:styleId="13">
    <w:name w:val="页眉 字符"/>
    <w:basedOn w:val="10"/>
    <w:link w:val="5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4">
    <w:name w:val="页脚 字符"/>
    <w:basedOn w:val="10"/>
    <w:link w:val="2"/>
    <w:qFormat/>
    <w:uiPriority w:val="99"/>
    <w:rPr>
      <w:rFonts w:ascii="Times New Roman" w:hAnsi="Times New Roman" w:eastAsia="Times New Roman" w:cs="Times New Roman"/>
      <w:kern w:val="0"/>
      <w:sz w:val="18"/>
      <w:szCs w:val="18"/>
      <w:lang w:eastAsia="en-US"/>
    </w:rPr>
  </w:style>
  <w:style w:type="character" w:customStyle="1" w:styleId="15">
    <w:name w:val="font51"/>
    <w:basedOn w:val="10"/>
    <w:qFormat/>
    <w:uiPriority w:val="0"/>
    <w:rPr>
      <w:rFonts w:hint="default" w:ascii="方正仿宋" w:hAnsi="方正仿宋" w:eastAsia="方正仿宋" w:cs="方正仿宋"/>
      <w:b/>
      <w:bCs/>
      <w:color w:val="000000"/>
      <w:sz w:val="20"/>
      <w:szCs w:val="20"/>
      <w:u w:val="none"/>
    </w:rPr>
  </w:style>
  <w:style w:type="character" w:customStyle="1" w:styleId="16">
    <w:name w:val="font21"/>
    <w:basedOn w:val="10"/>
    <w:qFormat/>
    <w:uiPriority w:val="0"/>
    <w:rPr>
      <w:rFonts w:hint="eastAsia" w:ascii="等线" w:hAnsi="等线" w:eastAsia="等线" w:cs="等线"/>
      <w:b/>
      <w:bCs/>
      <w:color w:val="000000"/>
      <w:sz w:val="20"/>
      <w:szCs w:val="20"/>
      <w:u w:val="none"/>
    </w:rPr>
  </w:style>
  <w:style w:type="character" w:customStyle="1" w:styleId="17">
    <w:name w:val="font61"/>
    <w:basedOn w:val="10"/>
    <w:qFormat/>
    <w:uiPriority w:val="0"/>
    <w:rPr>
      <w:rFonts w:hint="default" w:ascii="方正仿宋" w:hAnsi="方正仿宋" w:eastAsia="方正仿宋" w:cs="方正仿宋"/>
      <w:color w:val="000000"/>
      <w:sz w:val="20"/>
      <w:szCs w:val="20"/>
      <w:u w:val="none"/>
    </w:rPr>
  </w:style>
  <w:style w:type="character" w:customStyle="1" w:styleId="18">
    <w:name w:val="font81"/>
    <w:basedOn w:val="10"/>
    <w:qFormat/>
    <w:uiPriority w:val="0"/>
    <w:rPr>
      <w:rFonts w:hint="default" w:ascii="方正仿宋" w:hAnsi="方正仿宋" w:eastAsia="方正仿宋" w:cs="方正仿宋"/>
      <w:b/>
      <w:bCs/>
      <w:color w:val="000000"/>
      <w:sz w:val="20"/>
      <w:szCs w:val="20"/>
      <w:u w:val="none"/>
    </w:rPr>
  </w:style>
  <w:style w:type="character" w:customStyle="1" w:styleId="19">
    <w:name w:val="font71"/>
    <w:basedOn w:val="10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0">
    <w:name w:val="font41"/>
    <w:basedOn w:val="10"/>
    <w:qFormat/>
    <w:uiPriority w:val="0"/>
    <w:rPr>
      <w:rFonts w:hint="default" w:ascii="方正仿宋" w:hAnsi="方正仿宋" w:eastAsia="方正仿宋" w:cs="方正仿宋"/>
      <w:color w:val="000000"/>
      <w:sz w:val="20"/>
      <w:szCs w:val="20"/>
      <w:u w:val="none"/>
    </w:rPr>
  </w:style>
  <w:style w:type="character" w:customStyle="1" w:styleId="21">
    <w:name w:val="font11"/>
    <w:basedOn w:val="10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22">
    <w:name w:val="font31"/>
    <w:basedOn w:val="10"/>
    <w:qFormat/>
    <w:uiPriority w:val="0"/>
    <w:rPr>
      <w:rFonts w:hint="default" w:ascii="方正仿宋" w:hAnsi="方正仿宋" w:eastAsia="方正仿宋" w:cs="方正仿宋"/>
      <w:b/>
      <w:bCs/>
      <w:color w:val="000000"/>
      <w:sz w:val="20"/>
      <w:szCs w:val="20"/>
      <w:u w:val="none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customStyle="1" w:styleId="24">
    <w:name w:val="Char4 Char Char 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D:\&#21355;&#29983;&#32479;&#35745;\&#32479;&#35745;&#20998;&#26512;\2025&#24180;\&#21103;&#26412;&#19968;&#23395;&#25253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D:\&#21355;&#29983;&#32479;&#35745;\&#32479;&#35745;&#20998;&#26512;\2025&#24180;\&#21103;&#26412;&#19968;&#23395;&#2525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D:\&#21355;&#29983;&#32479;&#35745;\&#32479;&#35745;&#20998;&#26512;\2025&#24180;\&#21103;&#26412;&#19968;&#23395;&#2525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D:\&#21355;&#29983;&#32479;&#35745;\&#32479;&#35745;&#20998;&#26512;\2025&#24180;\&#21103;&#26412;&#19968;&#23395;&#252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[副本一季报.xlsx]总诊疗人次!$B$1</c:f>
              <c:strCache>
                <c:ptCount val="1"/>
                <c:pt idx="0">
                  <c:v>总诊疗人次数（万人次）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false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[副本一季报.xlsx]总诊疗人次!$A$2:$A$6</c:f>
              <c:strCache>
                <c:ptCount val="5"/>
                <c:pt idx="0">
                  <c:v>2021年一季度</c:v>
                </c:pt>
                <c:pt idx="1">
                  <c:v>2022年一季度</c:v>
                </c:pt>
                <c:pt idx="2">
                  <c:v>2023年一季度</c:v>
                </c:pt>
                <c:pt idx="3">
                  <c:v>2024年一季度</c:v>
                </c:pt>
                <c:pt idx="4">
                  <c:v>2025年一季度</c:v>
                </c:pt>
              </c:strCache>
            </c:strRef>
          </c:cat>
          <c:val>
            <c:numRef>
              <c:f>[副本一季报.xlsx]总诊疗人次!$B$2:$B$6</c:f>
              <c:numCache>
                <c:formatCode>General</c:formatCode>
                <c:ptCount val="5"/>
                <c:pt idx="0">
                  <c:v>3718.27</c:v>
                </c:pt>
                <c:pt idx="1">
                  <c:v>3944.07</c:v>
                </c:pt>
                <c:pt idx="2">
                  <c:v>4333.94</c:v>
                </c:pt>
                <c:pt idx="3">
                  <c:v>5474.93</c:v>
                </c:pt>
                <c:pt idx="4">
                  <c:v>5484.81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1116042224"/>
        <c:axId val="1116023920"/>
      </c:barChart>
      <c:lineChart>
        <c:grouping val="standard"/>
        <c:varyColors val="false"/>
        <c:ser>
          <c:idx val="1"/>
          <c:order val="1"/>
          <c:tx>
            <c:strRef>
              <c:f>[副本一季报.xlsx]总诊疗人次!$C$1</c:f>
              <c:strCache>
                <c:ptCount val="1"/>
                <c:pt idx="0">
                  <c:v>增长率（%）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numFmt formatCode="0.00%" sourceLinked="false"/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900" b="0" i="0" u="none" strike="noStrike" kern="1200" baseline="0">
                    <a:ln>
                      <a:noFill/>
                    </a:ln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fals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[副本一季报.xlsx]总诊疗人次!$A$2:$A$6</c:f>
              <c:strCache>
                <c:ptCount val="5"/>
                <c:pt idx="0">
                  <c:v>2021年一季度</c:v>
                </c:pt>
                <c:pt idx="1">
                  <c:v>2022年一季度</c:v>
                </c:pt>
                <c:pt idx="2">
                  <c:v>2023年一季度</c:v>
                </c:pt>
                <c:pt idx="3">
                  <c:v>2024年一季度</c:v>
                </c:pt>
                <c:pt idx="4">
                  <c:v>2025年一季度</c:v>
                </c:pt>
              </c:strCache>
            </c:strRef>
          </c:cat>
          <c:val>
            <c:numRef>
              <c:f>[副本一季报.xlsx]总诊疗人次!$C$2:$C$6</c:f>
              <c:numCache>
                <c:formatCode>0.00%</c:formatCode>
                <c:ptCount val="5"/>
                <c:pt idx="0">
                  <c:v>0.399166130446399</c:v>
                </c:pt>
                <c:pt idx="1">
                  <c:v>0.060727166128334</c:v>
                </c:pt>
                <c:pt idx="2">
                  <c:v>0.0988</c:v>
                </c:pt>
                <c:pt idx="3">
                  <c:v>0.2188</c:v>
                </c:pt>
                <c:pt idx="4">
                  <c:v>0.00180458928242011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234336896"/>
        <c:axId val="1234338560"/>
      </c:lineChart>
      <c:catAx>
        <c:axId val="1116042224"/>
        <c:scaling>
          <c:orientation val="minMax"/>
        </c:scaling>
        <c:delete val="false"/>
        <c:axPos val="b"/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23920"/>
        <c:crosses val="autoZero"/>
        <c:auto val="true"/>
        <c:lblAlgn val="ctr"/>
        <c:lblOffset val="100"/>
        <c:noMultiLvlLbl val="false"/>
      </c:catAx>
      <c:valAx>
        <c:axId val="1116023920"/>
        <c:scaling>
          <c:orientation val="minMax"/>
        </c:scaling>
        <c:delete val="false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true"/>
        <c:majorTickMark val="in"/>
        <c:minorTickMark val="none"/>
        <c:tickLblPos val="nextTo"/>
        <c:spPr>
          <a:noFill/>
          <a:ln>
            <a:solidFill>
              <a:schemeClr val="bg2">
                <a:alpha val="94000"/>
              </a:schemeClr>
            </a:solidFill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42224"/>
        <c:crosses val="autoZero"/>
        <c:crossBetween val="between"/>
      </c:valAx>
      <c:catAx>
        <c:axId val="1234336896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34338560"/>
        <c:crosses val="autoZero"/>
        <c:auto val="true"/>
        <c:lblAlgn val="ctr"/>
        <c:lblOffset val="100"/>
        <c:noMultiLvlLbl val="false"/>
      </c:catAx>
      <c:valAx>
        <c:axId val="1234338560"/>
        <c:scaling>
          <c:orientation val="minMax"/>
        </c:scaling>
        <c:delete val="false"/>
        <c:axPos val="r"/>
        <c:numFmt formatCode="0.00%" sourceLinked="false"/>
        <c:majorTickMark val="in"/>
        <c:minorTickMark val="none"/>
        <c:tickLblPos val="nextTo"/>
        <c:spPr>
          <a:noFill/>
          <a:ln>
            <a:solidFill>
              <a:sysClr val="windowText" lastClr="000000">
                <a:lumMod val="25000"/>
                <a:lumOff val="75000"/>
              </a:sysClr>
            </a:solidFill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3433689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[副本一季报.xlsx]出院人数!$B$14</c:f>
              <c:strCache>
                <c:ptCount val="1"/>
                <c:pt idx="0">
                  <c:v>出院人数（万人）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[副本一季报.xlsx]出院人数!$A$15:$A$19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f>[副本一季报.xlsx]出院人数!$B$15:$B$19</c:f>
              <c:numCache>
                <c:formatCode>0.00_ </c:formatCode>
                <c:ptCount val="5"/>
                <c:pt idx="0">
                  <c:v>171.6796</c:v>
                </c:pt>
                <c:pt idx="1">
                  <c:v>185.3938</c:v>
                </c:pt>
                <c:pt idx="2" c:formatCode="General">
                  <c:v>205.36</c:v>
                </c:pt>
                <c:pt idx="3">
                  <c:v>239.0465</c:v>
                </c:pt>
                <c:pt idx="4">
                  <c:v>209.53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150"/>
        <c:axId val="1116042224"/>
        <c:axId val="1116023920"/>
      </c:barChart>
      <c:lineChart>
        <c:grouping val="standard"/>
        <c:varyColors val="false"/>
        <c:ser>
          <c:idx val="1"/>
          <c:order val="1"/>
          <c:tx>
            <c:strRef>
              <c:f>[副本一季报.xlsx]出院人数!$C$14</c:f>
              <c:strCache>
                <c:ptCount val="1"/>
                <c:pt idx="0">
                  <c:v>增长率（%）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[副本一季报.xlsx]出院人数!$A$15:$A$19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f>[副本一季报.xlsx]出院人数!$C$15:$C$19</c:f>
              <c:numCache>
                <c:formatCode>0.00%</c:formatCode>
                <c:ptCount val="5"/>
                <c:pt idx="0">
                  <c:v>0.171951999552189</c:v>
                </c:pt>
                <c:pt idx="1">
                  <c:v>0.0798825253553712</c:v>
                </c:pt>
                <c:pt idx="2">
                  <c:v>0.10769615812395</c:v>
                </c:pt>
                <c:pt idx="3">
                  <c:v>0.16403632645111</c:v>
                </c:pt>
                <c:pt idx="4">
                  <c:v>-0.1235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234336896"/>
        <c:axId val="1234338560"/>
      </c:lineChart>
      <c:catAx>
        <c:axId val="1116042224"/>
        <c:scaling>
          <c:orientation val="minMax"/>
        </c:scaling>
        <c:delete val="false"/>
        <c:axPos val="b"/>
        <c:numFmt formatCode="General" sourceLinked="true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23920"/>
        <c:crosses val="autoZero"/>
        <c:auto val="true"/>
        <c:lblAlgn val="ctr"/>
        <c:lblOffset val="100"/>
        <c:noMultiLvlLbl val="false"/>
      </c:catAx>
      <c:valAx>
        <c:axId val="1116023920"/>
        <c:scaling>
          <c:orientation val="minMax"/>
        </c:scaling>
        <c:delete val="false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_);[Red]\(0\)" sourceLinked="false"/>
        <c:majorTickMark val="in"/>
        <c:minorTickMark val="none"/>
        <c:tickLblPos val="nextTo"/>
        <c:spPr>
          <a:noFill/>
          <a:ln>
            <a:solidFill>
              <a:schemeClr val="bg2">
                <a:alpha val="94000"/>
              </a:schemeClr>
            </a:solidFill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42224"/>
        <c:crosses val="autoZero"/>
        <c:crossBetween val="between"/>
      </c:valAx>
      <c:catAx>
        <c:axId val="1234336896"/>
        <c:scaling>
          <c:orientation val="minMax"/>
        </c:scaling>
        <c:delete val="true"/>
        <c:axPos val="b"/>
        <c:numFmt formatCode="General" sourceLinked="true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34338560"/>
        <c:crosses val="autoZero"/>
        <c:auto val="true"/>
        <c:lblAlgn val="ctr"/>
        <c:lblOffset val="100"/>
        <c:noMultiLvlLbl val="false"/>
      </c:catAx>
      <c:valAx>
        <c:axId val="1234338560"/>
        <c:scaling>
          <c:orientation val="minMax"/>
        </c:scaling>
        <c:delete val="false"/>
        <c:axPos val="r"/>
        <c:numFmt formatCode="0.00%" sourceLinked="false"/>
        <c:majorTickMark val="in"/>
        <c:minorTickMark val="none"/>
        <c:tickLblPos val="nextTo"/>
        <c:spPr>
          <a:noFill/>
          <a:ln>
            <a:solidFill>
              <a:sysClr val="windowText" lastClr="000000">
                <a:lumMod val="25000"/>
                <a:lumOff val="75000"/>
              </a:sysClr>
            </a:solidFill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34336896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ctr" anchorCtr="false"/>
    <a:lstStyle/>
    <a:p>
      <a:pPr>
        <a:defRPr lang="zh-CN"/>
      </a:pPr>
    </a:p>
  </c:txPr>
  <c:externalData r:id="rId1">
    <c:autoUpdate val="false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lineChart>
        <c:grouping val="standard"/>
        <c:varyColors val="false"/>
        <c:ser>
          <c:idx val="0"/>
          <c:order val="0"/>
          <c:tx>
            <c:strRef>
              <c:f>[副本一季报.xlsx]次均门诊费用!$B$13</c:f>
              <c:strCache>
                <c:ptCount val="1"/>
                <c:pt idx="0">
                  <c:v>全市</c:v>
                </c:pt>
              </c:strCache>
            </c:strRef>
          </c:tx>
          <c:spPr>
            <a:ln w="15875" cap="rnd">
              <a:solidFill>
                <a:schemeClr val="accent1"/>
              </a:solidFill>
              <a:prstDash val="sysDash"/>
              <a:round/>
            </a:ln>
            <a:effectLst>
              <a:outerShdw blurRad="50800" dist="50800" dir="2400000" algn="ctr" rotWithShape="0">
                <a:srgbClr val="000000">
                  <a:alpha val="43137"/>
                </a:srgbClr>
              </a:outerShdw>
            </a:effectLst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>
                <a:outerShdw blurRad="50800" dist="50800" dir="2400000" algn="ctr" rotWithShape="0">
                  <a:srgbClr val="000000">
                    <a:alpha val="43137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true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[副本一季报.xlsx]次均门诊费用!$A$14:$A$19</c15:sqref>
                  </c15:fullRef>
                </c:ext>
              </c:extLst>
              <c:f>[副本一季报.xlsx]次均门诊费用!$A$14:$A$18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次均门诊费用!$B$14:$B$19</c15:sqref>
                  </c15:fullRef>
                </c:ext>
              </c:extLst>
              <c:f>[副本一季报.xlsx]次均门诊费用!$B$14:$B$18</c:f>
              <c:numCache>
                <c:formatCode>0.00_ </c:formatCode>
                <c:ptCount val="5"/>
                <c:pt idx="0">
                  <c:v>285.53</c:v>
                </c:pt>
                <c:pt idx="1">
                  <c:v>292.19</c:v>
                </c:pt>
                <c:pt idx="2">
                  <c:v>300.45</c:v>
                </c:pt>
                <c:pt idx="3">
                  <c:v>293.69</c:v>
                </c:pt>
                <c:pt idx="4">
                  <c:v>295.8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[副本一季报.xlsx]次均门诊费用!$C$13</c:f>
              <c:strCache>
                <c:ptCount val="1"/>
                <c:pt idx="0">
                  <c:v>医院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sysDash"/>
              <a:round/>
            </a:ln>
            <a:effectLst/>
            <a:sp3d contourW="12700"/>
          </c:spPr>
          <c:marker>
            <c:symbol val="diamond"/>
            <c:size val="5"/>
            <c:spPr>
              <a:solidFill>
                <a:schemeClr val="accent2"/>
              </a:solidFill>
              <a:ln w="9525">
                <a:solidFill>
                  <a:schemeClr val="accent2">
                    <a:alpha val="99000"/>
                  </a:schemeClr>
                </a:solidFill>
              </a:ln>
              <a:effectLst/>
            </c:spPr>
          </c:marker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[副本一季报.xlsx]次均门诊费用!$A$14:$A$19</c15:sqref>
                  </c15:fullRef>
                </c:ext>
              </c:extLst>
              <c:f>[副本一季报.xlsx]次均门诊费用!$A$14:$A$18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次均门诊费用!$C$14:$C$19</c15:sqref>
                  </c15:fullRef>
                </c:ext>
              </c:extLst>
              <c:f>[副本一季报.xlsx]次均门诊费用!$C$14:$C$18</c:f>
              <c:numCache>
                <c:formatCode>0.00_ </c:formatCode>
                <c:ptCount val="5"/>
                <c:pt idx="0">
                  <c:v>350.51</c:v>
                </c:pt>
                <c:pt idx="1">
                  <c:v>366.82</c:v>
                </c:pt>
                <c:pt idx="2">
                  <c:v>392.98</c:v>
                </c:pt>
                <c:pt idx="3">
                  <c:v>382.05</c:v>
                </c:pt>
                <c:pt idx="4">
                  <c:v>389.37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[副本一季报.xlsx]次均门诊费用!$D$13</c:f>
              <c:strCache>
                <c:ptCount val="1"/>
                <c:pt idx="0">
                  <c:v>基层医疗卫生机构</c:v>
                </c:pt>
              </c:strCache>
            </c:strRef>
          </c:tx>
          <c:spPr>
            <a:ln w="12700" cap="rnd" cmpd="sng">
              <a:solidFill>
                <a:schemeClr val="accent3"/>
              </a:solidFill>
              <a:prstDash val="dash"/>
              <a:round/>
            </a:ln>
            <a:effectLst/>
            <a:sp3d contourW="12700"/>
          </c:spPr>
          <c:marker>
            <c:symbol val="star"/>
            <c:size val="5"/>
            <c:spPr>
              <a:noFill/>
              <a:ln w="12700" cmpd="sng">
                <a:solidFill>
                  <a:schemeClr val="accent3"/>
                </a:solidFill>
                <a:prstDash val="sysDash"/>
              </a:ln>
              <a:effectLst/>
            </c:spPr>
          </c:marker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[副本一季报.xlsx]次均门诊费用!$A$14:$A$19</c15:sqref>
                  </c15:fullRef>
                </c:ext>
              </c:extLst>
              <c:f>[副本一季报.xlsx]次均门诊费用!$A$14:$A$18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次均门诊费用!$D$14:$D$19</c15:sqref>
                  </c15:fullRef>
                </c:ext>
              </c:extLst>
              <c:f>[副本一季报.xlsx]次均门诊费用!$D$14:$D$18</c:f>
              <c:numCache>
                <c:formatCode>0.00_ </c:formatCode>
                <c:ptCount val="5"/>
                <c:pt idx="0">
                  <c:v>127.11</c:v>
                </c:pt>
                <c:pt idx="1">
                  <c:v>138.13</c:v>
                </c:pt>
                <c:pt idx="2">
                  <c:v>129.18</c:v>
                </c:pt>
                <c:pt idx="3">
                  <c:v>130.1</c:v>
                </c:pt>
                <c:pt idx="4">
                  <c:v>128.65</c:v>
                </c:pt>
              </c:numCache>
            </c:numRef>
          </c:val>
          <c:smooth val="false"/>
        </c:ser>
        <c:ser>
          <c:idx val="3"/>
          <c:order val="3"/>
          <c:tx>
            <c:strRef>
              <c:f>[副本一季报.xlsx]次均门诊费用!$E$13</c:f>
              <c:strCache>
                <c:ptCount val="1"/>
                <c:pt idx="0">
                  <c:v>专业公共卫生机构</c:v>
                </c:pt>
              </c:strCache>
            </c:strRef>
          </c:tx>
          <c:spPr>
            <a:ln w="12700" cap="rnd" cmpd="sng">
              <a:solidFill>
                <a:schemeClr val="accent4"/>
              </a:solidFill>
              <a:prstDash val="sysDash"/>
              <a:round/>
            </a:ln>
            <a:effectLst/>
            <a:sp3d contourW="12700"/>
          </c:spPr>
          <c:marker>
            <c:symbol val="triang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[副本一季报.xlsx]次均门诊费用!$A$14:$A$19</c15:sqref>
                  </c15:fullRef>
                </c:ext>
              </c:extLst>
              <c:f>[副本一季报.xlsx]次均门诊费用!$A$14:$A$18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次均门诊费用!$E$14:$E$19</c15:sqref>
                  </c15:fullRef>
                </c:ext>
              </c:extLst>
              <c:f>[副本一季报.xlsx]次均门诊费用!$E$14:$E$18</c:f>
              <c:numCache>
                <c:formatCode>0.00_ </c:formatCode>
                <c:ptCount val="5"/>
                <c:pt idx="0">
                  <c:v>296.4</c:v>
                </c:pt>
                <c:pt idx="1">
                  <c:v>289.89</c:v>
                </c:pt>
                <c:pt idx="2">
                  <c:v>289.8</c:v>
                </c:pt>
                <c:pt idx="3">
                  <c:v>308.05</c:v>
                </c:pt>
                <c:pt idx="4">
                  <c:v>295.08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116042224"/>
        <c:axId val="1116023920"/>
      </c:lineChart>
      <c:catAx>
        <c:axId val="1116042224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23920"/>
        <c:crosses val="autoZero"/>
        <c:auto val="true"/>
        <c:lblAlgn val="ctr"/>
        <c:lblOffset val="100"/>
        <c:noMultiLvlLbl val="false"/>
      </c:catAx>
      <c:valAx>
        <c:axId val="1116023920"/>
        <c:scaling>
          <c:orientation val="minMax"/>
        </c:scaling>
        <c:delete val="false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_ " sourceLinked="true"/>
        <c:majorTickMark val="in"/>
        <c:minorTickMark val="none"/>
        <c:tickLblPos val="nextTo"/>
        <c:spPr>
          <a:noFill/>
          <a:ln>
            <a:solidFill>
              <a:schemeClr val="bg2">
                <a:alpha val="94000"/>
              </a:schemeClr>
            </a:solidFill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4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true"/>
    <c:plotArea>
      <c:layout/>
      <c:lineChart>
        <c:grouping val="standard"/>
        <c:varyColors val="false"/>
        <c:ser>
          <c:idx val="0"/>
          <c:order val="0"/>
          <c:tx>
            <c:strRef>
              <c:f>[副本一季报.xlsx]人均住院费用!$B$13</c:f>
              <c:strCache>
                <c:ptCount val="1"/>
                <c:pt idx="0">
                  <c:v>全市</c:v>
                </c:pt>
              </c:strCache>
            </c:strRef>
          </c:tx>
          <c:spPr>
            <a:ln w="12700" cap="rnd" cmpd="sng">
              <a:solidFill>
                <a:schemeClr val="accent1"/>
              </a:solidFill>
              <a:prstDash val="sysDash"/>
              <a:round/>
            </a:ln>
            <a:effectLst/>
            <a:sp3d contourW="12700"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[副本一季报.xlsx]人均住院费用!$A$14:$A$18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f>[副本一季报.xlsx]人均住院费用!$B$14:$B$18</c:f>
              <c:numCache>
                <c:formatCode>0.00_ </c:formatCode>
                <c:ptCount val="5"/>
                <c:pt idx="0">
                  <c:v>7597.72</c:v>
                </c:pt>
                <c:pt idx="1" c:formatCode="General">
                  <c:v>7572.3</c:v>
                </c:pt>
                <c:pt idx="2" c:formatCode="General">
                  <c:v>7783.92</c:v>
                </c:pt>
                <c:pt idx="3" c:formatCode="General">
                  <c:v>6847.9</c:v>
                </c:pt>
                <c:pt idx="4">
                  <c:v>6859.49</c:v>
                </c:pt>
              </c:numCache>
            </c:numRef>
          </c:val>
          <c:smooth val="false"/>
        </c:ser>
        <c:ser>
          <c:idx val="1"/>
          <c:order val="1"/>
          <c:tx>
            <c:strRef>
              <c:f>[副本一季报.xlsx]人均住院费用!$C$13</c:f>
              <c:strCache>
                <c:ptCount val="1"/>
                <c:pt idx="0">
                  <c:v>医院</c:v>
                </c:pt>
              </c:strCache>
            </c:strRef>
          </c:tx>
          <c:spPr>
            <a:ln w="12700" cap="rnd" cmpd="sng">
              <a:solidFill>
                <a:schemeClr val="accent2"/>
              </a:solidFill>
              <a:prstDash val="dash"/>
              <a:round/>
            </a:ln>
            <a:effectLst/>
            <a:sp3d contourW="12700"/>
          </c:spPr>
          <c:marker>
            <c:symbol val="diamond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true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9976.4</a:t>
                    </a:r>
                    <a:r>
                      <a:rPr lang="en-US" altLang="zh-CN"/>
                      <a:t>0</a:t>
                    </a:r>
                    <a:endParaRPr lang="en-US" altLang="zh-CN"/>
                  </a:p>
                </c:rich>
              </c:tx>
              <c:dLblPos val="t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/>
              </c:extLst>
            </c:dLbl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[副本一季报.xlsx]人均住院费用!$A$14:$A$18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f>[副本一季报.xlsx]人均住院费用!$C$14:$C$18</c:f>
              <c:numCache>
                <c:formatCode>General</c:formatCode>
                <c:ptCount val="5"/>
                <c:pt idx="0">
                  <c:v>9976.4</c:v>
                </c:pt>
                <c:pt idx="1">
                  <c:v>9828.28</c:v>
                </c:pt>
                <c:pt idx="2">
                  <c:v>10023.98</c:v>
                </c:pt>
                <c:pt idx="3">
                  <c:v>8972.72</c:v>
                </c:pt>
                <c:pt idx="4" c:formatCode="0.00_ ">
                  <c:v>8792.77</c:v>
                </c:pt>
              </c:numCache>
            </c:numRef>
          </c:val>
          <c:smooth val="false"/>
        </c:ser>
        <c:ser>
          <c:idx val="2"/>
          <c:order val="2"/>
          <c:tx>
            <c:strRef>
              <c:f>[副本一季报.xlsx]人均住院费用!$D$13</c:f>
              <c:strCache>
                <c:ptCount val="1"/>
                <c:pt idx="0">
                  <c:v>基层医疗卫生机构</c:v>
                </c:pt>
              </c:strCache>
            </c:strRef>
          </c:tx>
          <c:spPr>
            <a:ln w="12700" cap="rnd">
              <a:solidFill>
                <a:schemeClr val="bg1">
                  <a:lumMod val="75000"/>
                </a:schemeClr>
              </a:solidFill>
              <a:round/>
            </a:ln>
            <a:effectLst/>
            <a:sp3d contourW="12700"/>
          </c:spPr>
          <c:marker>
            <c:symbol val="squar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[副本一季报.xlsx]人均住院费用!$A$14:$A$18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f>[副本一季报.xlsx]人均住院费用!$D$14:$D$18</c:f>
              <c:numCache>
                <c:formatCode>General</c:formatCode>
                <c:ptCount val="5"/>
                <c:pt idx="0">
                  <c:v>2311.64</c:v>
                </c:pt>
                <c:pt idx="1">
                  <c:v>2316.76</c:v>
                </c:pt>
                <c:pt idx="2">
                  <c:v>2416.01</c:v>
                </c:pt>
                <c:pt idx="3">
                  <c:v>2221.86</c:v>
                </c:pt>
                <c:pt idx="4">
                  <c:v>2091.26</c:v>
                </c:pt>
              </c:numCache>
            </c:numRef>
          </c:val>
          <c:smooth val="false"/>
        </c:ser>
        <c:ser>
          <c:idx val="3"/>
          <c:order val="3"/>
          <c:tx>
            <c:strRef>
              <c:f>[副本一季报.xlsx]人均住院费用!$E$13</c:f>
              <c:strCache>
                <c:ptCount val="1"/>
                <c:pt idx="0">
                  <c:v>专业公共卫生机构</c:v>
                </c:pt>
              </c:strCache>
            </c:strRef>
          </c:tx>
          <c:spPr>
            <a:ln w="12700" cap="rnd">
              <a:solidFill>
                <a:schemeClr val="accent4">
                  <a:lumMod val="60000"/>
                  <a:lumOff val="40000"/>
                </a:schemeClr>
              </a:solidFill>
              <a:round/>
            </a:ln>
            <a:effectLst/>
            <a:sp3d contourW="12700"/>
          </c:spPr>
          <c:marker>
            <c:symbol val="triang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[副本一季报.xlsx]人均住院费用!$A$14:$A$18</c:f>
              <c:strCache>
                <c:ptCount val="5"/>
                <c:pt idx="0">
                  <c:v>2021年1季度</c:v>
                </c:pt>
                <c:pt idx="1">
                  <c:v>2022年1季度</c:v>
                </c:pt>
                <c:pt idx="2">
                  <c:v>2023年1季度</c:v>
                </c:pt>
                <c:pt idx="3">
                  <c:v>2024年1季度</c:v>
                </c:pt>
                <c:pt idx="4">
                  <c:v>2025年1季度</c:v>
                </c:pt>
              </c:strCache>
            </c:strRef>
          </c:cat>
          <c:val>
            <c:numRef>
              <c:f>[副本一季报.xlsx]人均住院费用!$E$14:$E$18</c:f>
              <c:numCache>
                <c:formatCode>General</c:formatCode>
                <c:ptCount val="5"/>
                <c:pt idx="0">
                  <c:v>4743.45</c:v>
                </c:pt>
                <c:pt idx="1">
                  <c:v>4809.28</c:v>
                </c:pt>
                <c:pt idx="2">
                  <c:v>4913.49</c:v>
                </c:pt>
                <c:pt idx="3">
                  <c:v>4521.95</c:v>
                </c:pt>
                <c:pt idx="4">
                  <c:v>4704.55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1116042224"/>
        <c:axId val="1116023920"/>
      </c:lineChart>
      <c:catAx>
        <c:axId val="1116042224"/>
        <c:scaling>
          <c:orientation val="minMax"/>
        </c:scaling>
        <c:delete val="false"/>
        <c:axPos val="b"/>
        <c:numFmt formatCode="General" sourceLinked="true"/>
        <c:majorTickMark val="in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23920"/>
        <c:crosses val="autoZero"/>
        <c:auto val="true"/>
        <c:lblAlgn val="ctr"/>
        <c:lblOffset val="100"/>
        <c:noMultiLvlLbl val="false"/>
      </c:catAx>
      <c:valAx>
        <c:axId val="1116023920"/>
        <c:scaling>
          <c:orientation val="minMax"/>
        </c:scaling>
        <c:delete val="false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0_ " sourceLinked="true"/>
        <c:majorTickMark val="in"/>
        <c:minorTickMark val="none"/>
        <c:tickLblPos val="nextTo"/>
        <c:spPr>
          <a:noFill/>
          <a:ln>
            <a:solidFill>
              <a:schemeClr val="bg2">
                <a:alpha val="94000"/>
              </a:schemeClr>
            </a:solidFill>
          </a:ln>
          <a:effectLst/>
        </c:spPr>
        <c:txPr>
          <a:bodyPr rot="-60000000" spcFirstLastPara="1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116042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1809</Words>
  <Characters>2388</Characters>
  <Lines>50</Lines>
  <Paragraphs>14</Paragraphs>
  <TotalTime>5</TotalTime>
  <ScaleCrop>false</ScaleCrop>
  <LinksUpToDate>false</LinksUpToDate>
  <CharactersWithSpaces>2426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2024-05-19T20:32:00Z</dcterms:created>
  <dc:creator>小利</dc:creator>
  <cp:lastModifiedBy>wjw</cp:lastModifiedBy>
  <cp:lastPrinted>2024-05-19T00:07:00Z</cp:lastPrinted>
  <dcterms:modified xsi:type="dcterms:W3CDTF">2025-06-12T21:36:21Z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3289E25430D1EE6BA7213868069F9705_43</vt:lpwstr>
  </property>
  <property fmtid="{D5CDD505-2E9C-101B-9397-08002B2CF9AE}" pid="4" name="KSOTemplateDocerSaveRecord">
    <vt:lpwstr>eyJoZGlkIjoiMjEzOTQwNzFhYzM4MTk0OWQ2MzMyZTFmMjU2ZTNjZTIiLCJ1c2VySWQiOiI0MzkzNjM3MTkifQ==</vt:lpwstr>
  </property>
</Properties>
</file>